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A1" w:rsidRPr="007A4CA1" w:rsidRDefault="007A4CA1" w:rsidP="007A4CA1">
      <w:pPr>
        <w:autoSpaceDE w:val="0"/>
        <w:autoSpaceDN w:val="0"/>
        <w:adjustRightInd w:val="0"/>
        <w:spacing w:after="0" w:line="240" w:lineRule="auto"/>
        <w:jc w:val="center"/>
        <w:rPr>
          <w:rFonts w:ascii="Arial Narrow" w:hAnsi="Arial Narrow" w:cs="ArialNarrow"/>
          <w:sz w:val="32"/>
          <w:szCs w:val="32"/>
        </w:rPr>
      </w:pPr>
      <w:r w:rsidRPr="007A4CA1">
        <w:rPr>
          <w:rFonts w:ascii="Arial Narrow" w:hAnsi="Arial Narrow" w:cs="ArialNarrow"/>
          <w:sz w:val="32"/>
          <w:szCs w:val="32"/>
        </w:rPr>
        <w:t>CRNA GORA</w:t>
      </w:r>
    </w:p>
    <w:p w:rsidR="007A4CA1" w:rsidRPr="007A4CA1" w:rsidRDefault="007A4CA1" w:rsidP="007A4CA1">
      <w:pPr>
        <w:autoSpaceDE w:val="0"/>
        <w:autoSpaceDN w:val="0"/>
        <w:adjustRightInd w:val="0"/>
        <w:spacing w:after="0" w:line="240" w:lineRule="auto"/>
        <w:jc w:val="center"/>
        <w:rPr>
          <w:rFonts w:ascii="Arial Narrow" w:hAnsi="Arial Narrow" w:cs="ArialNarrow"/>
          <w:sz w:val="32"/>
          <w:szCs w:val="32"/>
        </w:rPr>
      </w:pPr>
      <w:r w:rsidRPr="007A4CA1">
        <w:rPr>
          <w:rFonts w:ascii="Arial Narrow" w:hAnsi="Arial Narrow" w:cs="ArialNarrow"/>
          <w:sz w:val="32"/>
          <w:szCs w:val="32"/>
        </w:rPr>
        <w:t>ZAŠTITNIK LJUDSKIH PRAVA I SLOBODA</w:t>
      </w: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b/>
          <w:sz w:val="40"/>
          <w:szCs w:val="40"/>
        </w:rPr>
      </w:pPr>
      <w:r w:rsidRPr="007A4CA1">
        <w:rPr>
          <w:rFonts w:ascii="Arial Narrow" w:hAnsi="Arial Narrow" w:cs="ArialNarrow"/>
          <w:b/>
          <w:sz w:val="40"/>
          <w:szCs w:val="40"/>
        </w:rPr>
        <w:t xml:space="preserve">ALTERNATIVNI IZVJEŠTAJ </w:t>
      </w:r>
    </w:p>
    <w:p w:rsidR="007A4CA1" w:rsidRPr="007A4CA1" w:rsidRDefault="007A4CA1" w:rsidP="007A4CA1">
      <w:pPr>
        <w:autoSpaceDE w:val="0"/>
        <w:autoSpaceDN w:val="0"/>
        <w:adjustRightInd w:val="0"/>
        <w:spacing w:after="0" w:line="240" w:lineRule="auto"/>
        <w:jc w:val="center"/>
        <w:rPr>
          <w:rFonts w:ascii="Arial Narrow" w:hAnsi="Arial Narrow" w:cs="ArialNarrow"/>
          <w:b/>
          <w:sz w:val="40"/>
          <w:szCs w:val="40"/>
        </w:rPr>
      </w:pPr>
      <w:r w:rsidRPr="007A4CA1">
        <w:rPr>
          <w:rFonts w:ascii="Arial Narrow" w:hAnsi="Arial Narrow" w:cs="ArialNarrow"/>
          <w:b/>
          <w:sz w:val="40"/>
          <w:szCs w:val="40"/>
        </w:rPr>
        <w:t>ZAŠTITNIKA LJUDSKIH PRAVA I SLOBODA CRNE GORE</w:t>
      </w:r>
    </w:p>
    <w:p w:rsidR="007A4CA1" w:rsidRPr="007A4CA1" w:rsidRDefault="007A4CA1" w:rsidP="007A4CA1">
      <w:pPr>
        <w:autoSpaceDE w:val="0"/>
        <w:autoSpaceDN w:val="0"/>
        <w:adjustRightInd w:val="0"/>
        <w:spacing w:after="0" w:line="240" w:lineRule="auto"/>
        <w:jc w:val="center"/>
        <w:rPr>
          <w:rFonts w:ascii="Arial Narrow" w:hAnsi="Arial Narrow" w:cs="ArialNarrow"/>
          <w:b/>
          <w:sz w:val="40"/>
          <w:szCs w:val="40"/>
        </w:rPr>
      </w:pPr>
      <w:r w:rsidRPr="007A4CA1">
        <w:rPr>
          <w:rFonts w:ascii="Arial Narrow" w:hAnsi="Arial Narrow" w:cs="ArialNarrow"/>
          <w:b/>
          <w:sz w:val="40"/>
          <w:szCs w:val="40"/>
        </w:rPr>
        <w:t>O</w:t>
      </w:r>
    </w:p>
    <w:p w:rsidR="007A4CA1" w:rsidRPr="007A4CA1" w:rsidRDefault="007A4CA1" w:rsidP="007A4CA1">
      <w:pPr>
        <w:autoSpaceDE w:val="0"/>
        <w:autoSpaceDN w:val="0"/>
        <w:adjustRightInd w:val="0"/>
        <w:spacing w:after="0" w:line="240" w:lineRule="auto"/>
        <w:jc w:val="center"/>
        <w:rPr>
          <w:rFonts w:ascii="Arial Narrow" w:hAnsi="Arial Narrow" w:cs="ArialNarrow"/>
          <w:b/>
          <w:sz w:val="40"/>
          <w:szCs w:val="40"/>
        </w:rPr>
      </w:pPr>
      <w:r w:rsidRPr="007A4CA1">
        <w:rPr>
          <w:rFonts w:ascii="Arial Narrow" w:hAnsi="Arial Narrow" w:cs="ArialNarrow"/>
          <w:b/>
          <w:sz w:val="40"/>
          <w:szCs w:val="40"/>
        </w:rPr>
        <w:t>DRUGOM I TREĆEM PERIODIČNOM IZVJEŠTAJU CG</w:t>
      </w:r>
    </w:p>
    <w:p w:rsidR="007A4CA1" w:rsidRPr="007A4CA1" w:rsidRDefault="007A4CA1" w:rsidP="007A4CA1">
      <w:pPr>
        <w:autoSpaceDE w:val="0"/>
        <w:autoSpaceDN w:val="0"/>
        <w:adjustRightInd w:val="0"/>
        <w:spacing w:after="0" w:line="240" w:lineRule="auto"/>
        <w:jc w:val="center"/>
        <w:rPr>
          <w:rFonts w:ascii="Arial Narrow" w:hAnsi="Arial Narrow" w:cs="ArialNarrow"/>
          <w:b/>
          <w:sz w:val="40"/>
          <w:szCs w:val="40"/>
        </w:rPr>
      </w:pPr>
      <w:r w:rsidRPr="007A4CA1">
        <w:rPr>
          <w:rFonts w:ascii="Arial Narrow" w:hAnsi="Arial Narrow" w:cs="ArialNarrow"/>
          <w:b/>
          <w:sz w:val="40"/>
          <w:szCs w:val="40"/>
        </w:rPr>
        <w:t xml:space="preserve">O </w:t>
      </w:r>
    </w:p>
    <w:p w:rsidR="007A4CA1" w:rsidRPr="007A4CA1" w:rsidRDefault="007A4CA1" w:rsidP="007A4CA1">
      <w:pPr>
        <w:autoSpaceDE w:val="0"/>
        <w:autoSpaceDN w:val="0"/>
        <w:adjustRightInd w:val="0"/>
        <w:spacing w:after="0" w:line="240" w:lineRule="auto"/>
        <w:jc w:val="center"/>
        <w:rPr>
          <w:rFonts w:ascii="Arial Narrow" w:hAnsi="Arial Narrow" w:cs="ArialNarrow"/>
          <w:b/>
          <w:sz w:val="40"/>
          <w:szCs w:val="40"/>
        </w:rPr>
      </w:pPr>
      <w:r w:rsidRPr="007A4CA1">
        <w:rPr>
          <w:rFonts w:ascii="Arial Narrow" w:hAnsi="Arial Narrow" w:cs="ArialNarrow"/>
          <w:b/>
          <w:sz w:val="40"/>
          <w:szCs w:val="40"/>
        </w:rPr>
        <w:t>PRIMJENI KONVENCIJE UJEDINJENIH NACIJA O PRAVIMA DJETETA</w:t>
      </w: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both"/>
        <w:rPr>
          <w:rFonts w:ascii="Arial Narrow" w:hAnsi="Arial Narrow" w:cs="ArialNarrow"/>
          <w:sz w:val="40"/>
          <w:szCs w:val="40"/>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both"/>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r w:rsidRPr="007A4CA1">
        <w:rPr>
          <w:rFonts w:ascii="Arial Narrow" w:hAnsi="Arial Narrow" w:cs="ArialNarrow"/>
          <w:sz w:val="24"/>
          <w:szCs w:val="24"/>
        </w:rPr>
        <w:t>Podgorica, jun 2017. godina</w:t>
      </w: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autoSpaceDE w:val="0"/>
        <w:autoSpaceDN w:val="0"/>
        <w:adjustRightInd w:val="0"/>
        <w:spacing w:after="0" w:line="240" w:lineRule="auto"/>
        <w:jc w:val="center"/>
        <w:rPr>
          <w:rFonts w:ascii="Arial Narrow" w:hAnsi="Arial Narrow" w:cs="ArialNarrow"/>
          <w:sz w:val="24"/>
          <w:szCs w:val="24"/>
        </w:rPr>
      </w:pPr>
    </w:p>
    <w:p w:rsidR="007A4CA1" w:rsidRPr="007A4CA1" w:rsidRDefault="007A4CA1" w:rsidP="007A4CA1">
      <w:pPr>
        <w:spacing w:after="0" w:line="240" w:lineRule="auto"/>
        <w:jc w:val="center"/>
        <w:rPr>
          <w:rFonts w:ascii="Arial Narrow" w:eastAsia="Times New Roman" w:hAnsi="Arial Narrow" w:cs="Times New Roman"/>
          <w:b/>
          <w:bCs/>
          <w:kern w:val="28"/>
          <w:sz w:val="32"/>
          <w:szCs w:val="32"/>
          <w:lang w:val="sl-SI" w:eastAsia="x-none" w:bidi="th-TH"/>
        </w:rPr>
      </w:pPr>
      <w:r w:rsidRPr="007A4CA1">
        <w:rPr>
          <w:rFonts w:ascii="Arial Narrow" w:eastAsia="Times New Roman" w:hAnsi="Arial Narrow" w:cs="Times New Roman"/>
          <w:b/>
          <w:bCs/>
          <w:kern w:val="28"/>
          <w:sz w:val="32"/>
          <w:szCs w:val="32"/>
          <w:lang w:val="sl-SI" w:eastAsia="x-none" w:bidi="th-TH"/>
        </w:rPr>
        <w:lastRenderedPageBreak/>
        <w:t>SADRŽAJ</w:t>
      </w:r>
    </w:p>
    <w:p w:rsidR="007A4CA1" w:rsidRPr="007A4CA1" w:rsidRDefault="007A4CA1" w:rsidP="007A4CA1">
      <w:pPr>
        <w:spacing w:after="120" w:line="240" w:lineRule="auto"/>
        <w:jc w:val="both"/>
        <w:rPr>
          <w:rFonts w:ascii="Times New Roman" w:eastAsia="Times New Roman" w:hAnsi="Times New Roman" w:cs="Times New Roman"/>
          <w:sz w:val="24"/>
          <w:szCs w:val="20"/>
          <w:lang w:val="sl-SI" w:eastAsia="x-none" w:bidi="th-TH"/>
        </w:rPr>
      </w:pPr>
    </w:p>
    <w:p w:rsidR="007A4CA1" w:rsidRPr="007A4CA1" w:rsidRDefault="007A4CA1" w:rsidP="007A4CA1">
      <w:pPr>
        <w:tabs>
          <w:tab w:val="right" w:leader="dot" w:pos="9736"/>
        </w:tabs>
        <w:spacing w:after="0" w:line="240" w:lineRule="auto"/>
        <w:jc w:val="both"/>
        <w:rPr>
          <w:rFonts w:eastAsiaTheme="minorEastAsia"/>
          <w:noProof/>
        </w:rPr>
      </w:pPr>
      <w:r w:rsidRPr="007A4CA1">
        <w:rPr>
          <w:rFonts w:ascii="Arial Narrow" w:eastAsia="Times New Roman" w:hAnsi="Arial Narrow" w:cs="Arial"/>
          <w:sz w:val="28"/>
          <w:szCs w:val="28"/>
          <w:lang w:val="sr-Latn-CS"/>
        </w:rPr>
        <w:fldChar w:fldCharType="begin"/>
      </w:r>
      <w:r w:rsidRPr="007A4CA1">
        <w:rPr>
          <w:rFonts w:ascii="Arial Narrow" w:eastAsia="Times New Roman" w:hAnsi="Arial Narrow" w:cs="Arial"/>
          <w:sz w:val="28"/>
          <w:szCs w:val="28"/>
          <w:lang w:val="sr-Latn-CS"/>
        </w:rPr>
        <w:instrText xml:space="preserve"> TOC \o "1-5" \h \z \u </w:instrText>
      </w:r>
      <w:r w:rsidRPr="007A4CA1">
        <w:rPr>
          <w:rFonts w:ascii="Arial Narrow" w:eastAsia="Times New Roman" w:hAnsi="Arial Narrow" w:cs="Arial"/>
          <w:sz w:val="28"/>
          <w:szCs w:val="28"/>
          <w:lang w:val="sr-Latn-CS"/>
        </w:rPr>
        <w:fldChar w:fldCharType="separate"/>
      </w:r>
      <w:hyperlink w:anchor="_Toc484780036" w:history="1">
        <w:r w:rsidRPr="007A4CA1">
          <w:rPr>
            <w:rFonts w:ascii="Arial Narrow" w:eastAsia="Times New Roman" w:hAnsi="Arial Narrow"/>
            <w:noProof/>
            <w:color w:val="0563C1" w:themeColor="hyperlink"/>
            <w:sz w:val="24"/>
            <w:u w:val="single"/>
            <w:lang w:val="sr-Latn-CS"/>
          </w:rPr>
          <w:t>UVOD</w:t>
        </w:r>
        <w:r w:rsidRPr="007A4CA1">
          <w:rPr>
            <w:rFonts w:ascii="Arial Narrow" w:hAnsi="Arial Narrow"/>
            <w:noProof/>
            <w:webHidden/>
            <w:sz w:val="24"/>
          </w:rPr>
          <w:tab/>
        </w:r>
        <w:r w:rsidRPr="007A4CA1">
          <w:rPr>
            <w:rFonts w:ascii="Arial Narrow" w:hAnsi="Arial Narrow"/>
            <w:noProof/>
            <w:webHidden/>
            <w:sz w:val="24"/>
          </w:rPr>
          <w:fldChar w:fldCharType="begin"/>
        </w:r>
        <w:r w:rsidRPr="007A4CA1">
          <w:rPr>
            <w:rFonts w:ascii="Arial Narrow" w:hAnsi="Arial Narrow"/>
            <w:noProof/>
            <w:webHidden/>
            <w:sz w:val="24"/>
          </w:rPr>
          <w:instrText xml:space="preserve"> PAGEREF _Toc484780036 \h </w:instrText>
        </w:r>
        <w:r w:rsidRPr="007A4CA1">
          <w:rPr>
            <w:rFonts w:ascii="Arial Narrow" w:hAnsi="Arial Narrow"/>
            <w:noProof/>
            <w:webHidden/>
            <w:sz w:val="24"/>
          </w:rPr>
        </w:r>
        <w:r w:rsidRPr="007A4CA1">
          <w:rPr>
            <w:rFonts w:ascii="Arial Narrow" w:hAnsi="Arial Narrow"/>
            <w:noProof/>
            <w:webHidden/>
            <w:sz w:val="24"/>
          </w:rPr>
          <w:fldChar w:fldCharType="separate"/>
        </w:r>
        <w:r w:rsidRPr="007A4CA1">
          <w:rPr>
            <w:rFonts w:ascii="Arial Narrow" w:hAnsi="Arial Narrow"/>
            <w:noProof/>
            <w:webHidden/>
            <w:sz w:val="24"/>
          </w:rPr>
          <w:t>4</w:t>
        </w:r>
        <w:r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37" w:history="1">
        <w:r w:rsidR="007A4CA1" w:rsidRPr="007A4CA1">
          <w:rPr>
            <w:rFonts w:ascii="Arial Narrow" w:eastAsia="Times New Roman" w:hAnsi="Arial Narrow"/>
            <w:noProof/>
            <w:color w:val="0563C1" w:themeColor="hyperlink"/>
            <w:sz w:val="24"/>
            <w:u w:val="single"/>
          </w:rPr>
          <w:t>I OPŠTE MJERE PRIMJENE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_Toc484780037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5</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38" w:history="1">
        <w:r w:rsidR="007A4CA1" w:rsidRPr="007A4CA1">
          <w:rPr>
            <w:rFonts w:ascii="Arial Narrow" w:hAnsi="Arial Narrow"/>
            <w:noProof/>
            <w:color w:val="0563C1" w:themeColor="hyperlink"/>
            <w:sz w:val="24"/>
            <w:u w:val="single"/>
          </w:rPr>
          <w:t>1.1. Zakonodavstvo</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_Toc484780038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5</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39" w:history="1">
        <w:r w:rsidR="007A4CA1" w:rsidRPr="007A4CA1">
          <w:rPr>
            <w:rFonts w:ascii="Arial Narrow" w:hAnsi="Arial Narrow"/>
            <w:noProof/>
            <w:color w:val="0563C1" w:themeColor="hyperlink"/>
            <w:sz w:val="24"/>
            <w:u w:val="single"/>
          </w:rPr>
          <w:t>1.2. Koordinacija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_Toc484780039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6</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40" w:history="1">
        <w:r w:rsidR="007A4CA1" w:rsidRPr="007A4CA1">
          <w:rPr>
            <w:rFonts w:ascii="Arial Narrow" w:eastAsia="Times New Roman" w:hAnsi="Arial Narrow"/>
            <w:noProof/>
            <w:color w:val="0563C1" w:themeColor="hyperlink"/>
            <w:sz w:val="24"/>
            <w:u w:val="single"/>
          </w:rPr>
          <w:t>1.3. Nacionalni plan akcije za djecu</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_Toc484780040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6</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41" w:history="1">
        <w:r w:rsidR="007A4CA1" w:rsidRPr="007A4CA1">
          <w:rPr>
            <w:rFonts w:ascii="Arial Narrow" w:eastAsia="Times New Roman" w:hAnsi="Arial Narrow"/>
            <w:noProof/>
            <w:color w:val="0563C1" w:themeColor="hyperlink"/>
            <w:sz w:val="24"/>
            <w:u w:val="single"/>
          </w:rPr>
          <w:t>1.4. Nezavisni monitoring</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_Toc484780041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7</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42" w:history="1">
        <w:r w:rsidR="007A4CA1" w:rsidRPr="007A4CA1">
          <w:rPr>
            <w:rFonts w:ascii="Arial Narrow" w:eastAsia="Times New Roman" w:hAnsi="Arial Narrow"/>
            <w:noProof/>
            <w:color w:val="0563C1" w:themeColor="hyperlink"/>
            <w:sz w:val="24"/>
            <w:u w:val="single"/>
          </w:rPr>
          <w:t>1.5. Opredjeljivanje sredstava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_Toc484780042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8</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43" w:history="1">
        <w:r w:rsidR="007A4CA1" w:rsidRPr="007A4CA1">
          <w:rPr>
            <w:rFonts w:ascii="Arial Narrow" w:eastAsia="Times New Roman" w:hAnsi="Arial Narrow"/>
            <w:noProof/>
            <w:color w:val="0563C1" w:themeColor="hyperlink"/>
            <w:sz w:val="24"/>
            <w:u w:val="single"/>
          </w:rPr>
          <w:t>1.6. Prikupljanje podataka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_Toc484780043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9</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44" w:history="1">
        <w:r w:rsidR="007A4CA1" w:rsidRPr="007A4CA1">
          <w:rPr>
            <w:rFonts w:ascii="Arial Narrow" w:eastAsia="Times New Roman" w:hAnsi="Arial Narrow"/>
            <w:noProof/>
            <w:color w:val="0563C1" w:themeColor="hyperlink"/>
            <w:sz w:val="24"/>
            <w:u w:val="single"/>
          </w:rPr>
          <w:t>1.7. Informisanje i podizanje svijesti</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_Toc484780044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9</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45" w:history="1">
        <w:r w:rsidR="007A4CA1" w:rsidRPr="007A4CA1">
          <w:rPr>
            <w:rFonts w:ascii="Arial Narrow" w:eastAsia="Times New Roman" w:hAnsi="Arial Narrow"/>
            <w:noProof/>
            <w:color w:val="0563C1" w:themeColor="hyperlink"/>
            <w:sz w:val="24"/>
            <w:u w:val="single"/>
          </w:rPr>
          <w:t>1.8. Obuka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_Toc484780045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10</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46" w:history="1">
        <w:r w:rsidR="007A4CA1" w:rsidRPr="007A4CA1">
          <w:rPr>
            <w:rFonts w:ascii="Arial Narrow" w:eastAsia="Times New Roman" w:hAnsi="Arial Narrow"/>
            <w:noProof/>
            <w:color w:val="0563C1" w:themeColor="hyperlink"/>
            <w:sz w:val="24"/>
            <w:u w:val="single"/>
          </w:rPr>
          <w:t>1.9. Saradnja sa civilnim društvom</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_Toc484780046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10</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47" w:history="1">
        <w:r w:rsidR="007A4CA1" w:rsidRPr="007A4CA1">
          <w:rPr>
            <w:rFonts w:ascii="Arial Narrow" w:eastAsia="Times New Roman" w:hAnsi="Arial Narrow"/>
            <w:noProof/>
            <w:color w:val="0563C1" w:themeColor="hyperlink"/>
            <w:sz w:val="24"/>
            <w:u w:val="single"/>
          </w:rPr>
          <w:t>II DEFINICIJA DJETETA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_Toc484780047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10</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48" w:history="1">
        <w:r w:rsidR="007A4CA1" w:rsidRPr="007A4CA1">
          <w:rPr>
            <w:rFonts w:ascii="Arial Narrow" w:eastAsia="Times New Roman" w:hAnsi="Arial Narrow"/>
            <w:noProof/>
            <w:color w:val="0563C1" w:themeColor="hyperlink"/>
            <w:sz w:val="24"/>
            <w:u w:val="single"/>
          </w:rPr>
          <w:t>III OPŠTA NAČELA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_Toc484780048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11</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49" w:history="1">
        <w:r w:rsidR="007A4CA1" w:rsidRPr="007A4CA1">
          <w:rPr>
            <w:rFonts w:ascii="Arial Narrow" w:eastAsia="Times New Roman" w:hAnsi="Arial Narrow"/>
            <w:noProof/>
            <w:color w:val="0563C1" w:themeColor="hyperlink"/>
            <w:sz w:val="24"/>
            <w:u w:val="single"/>
          </w:rPr>
          <w:t>3.1. Nediskriminacija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_Toc484780049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11</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50" w:history="1">
        <w:r w:rsidR="007A4CA1" w:rsidRPr="007A4CA1">
          <w:rPr>
            <w:rFonts w:ascii="Arial Narrow" w:eastAsia="Times New Roman" w:hAnsi="Arial Narrow"/>
            <w:noProof/>
            <w:color w:val="0563C1" w:themeColor="hyperlink"/>
            <w:sz w:val="24"/>
            <w:u w:val="single"/>
          </w:rPr>
          <w:t>3.2. Najbolji interes djeteta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_Toc484780050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12</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51" w:history="1">
        <w:r w:rsidR="007A4CA1" w:rsidRPr="007A4CA1">
          <w:rPr>
            <w:rFonts w:ascii="Arial Narrow" w:eastAsia="Times New Roman" w:hAnsi="Arial Narrow"/>
            <w:noProof/>
            <w:color w:val="0563C1" w:themeColor="hyperlink"/>
            <w:sz w:val="24"/>
            <w:u w:val="single"/>
          </w:rPr>
          <w:t>3.3. Poštovanje stavova djeteta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_Toc484780051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12</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52" w:history="1">
        <w:r w:rsidR="007A4CA1" w:rsidRPr="007A4CA1">
          <w:rPr>
            <w:rFonts w:ascii="Arial Narrow" w:eastAsia="Times New Roman" w:hAnsi="Arial Narrow"/>
            <w:noProof/>
            <w:color w:val="0563C1" w:themeColor="hyperlink"/>
            <w:sz w:val="24"/>
            <w:u w:val="single"/>
          </w:rPr>
          <w:t>VI GRAĐANSKA PRAVA I SLOBODE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_Toc484780052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13</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53" w:history="1">
        <w:r w:rsidR="007A4CA1" w:rsidRPr="007A4CA1">
          <w:rPr>
            <w:rFonts w:ascii="Arial Narrow" w:eastAsia="Times New Roman" w:hAnsi="Arial Narrow"/>
            <w:noProof/>
            <w:color w:val="0563C1" w:themeColor="hyperlink"/>
            <w:sz w:val="24"/>
            <w:u w:val="single"/>
          </w:rPr>
          <w:t>4.1. Registracija rođenja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_Toc484780053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13</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54" w:history="1">
        <w:r w:rsidR="007A4CA1" w:rsidRPr="007A4CA1">
          <w:rPr>
            <w:rFonts w:ascii="Arial Narrow" w:eastAsia="Times New Roman" w:hAnsi="Arial Narrow"/>
            <w:noProof/>
            <w:color w:val="0563C1" w:themeColor="hyperlink"/>
            <w:sz w:val="24"/>
            <w:u w:val="single"/>
          </w:rPr>
          <w:t>4.2. Mučenje i drugo okrutno, nečovječno ili ponižavajuće postupanje ili kažnjavanje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_Toc484780054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13</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55" w:history="1">
        <w:r w:rsidR="007A4CA1" w:rsidRPr="007A4CA1">
          <w:rPr>
            <w:rFonts w:ascii="Arial Narrow" w:eastAsia="Times New Roman" w:hAnsi="Arial Narrow"/>
            <w:noProof/>
            <w:color w:val="0563C1" w:themeColor="hyperlink"/>
            <w:sz w:val="24"/>
            <w:u w:val="single"/>
          </w:rPr>
          <w:t>4.3. Tjelesno kažnjavanje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_Toc484780055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14</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56" w:history="1">
        <w:r w:rsidR="007A4CA1" w:rsidRPr="007A4CA1">
          <w:rPr>
            <w:rFonts w:ascii="Arial Narrow" w:eastAsia="Times New Roman" w:hAnsi="Arial Narrow"/>
            <w:noProof/>
            <w:color w:val="0563C1" w:themeColor="hyperlink"/>
            <w:sz w:val="24"/>
            <w:u w:val="single"/>
          </w:rPr>
          <w:t>V PORODIČNO OKRUŽENJE I ALTERNATIVNO ZBRINJAVANJE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_Toc484780056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14</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57" w:history="1">
        <w:r w:rsidR="007A4CA1" w:rsidRPr="007A4CA1">
          <w:rPr>
            <w:rFonts w:ascii="Arial Narrow" w:eastAsia="Times New Roman" w:hAnsi="Arial Narrow"/>
            <w:noProof/>
            <w:color w:val="0563C1" w:themeColor="hyperlink"/>
            <w:sz w:val="24"/>
            <w:u w:val="single"/>
          </w:rPr>
          <w:t>5.1. Porodično okruženje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_Toc484780057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15</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58" w:history="1">
        <w:r w:rsidR="007A4CA1" w:rsidRPr="007A4CA1">
          <w:rPr>
            <w:rFonts w:ascii="Arial Narrow" w:eastAsia="Times New Roman" w:hAnsi="Arial Narrow"/>
            <w:noProof/>
            <w:color w:val="0563C1" w:themeColor="hyperlink"/>
            <w:sz w:val="24"/>
            <w:u w:val="single"/>
          </w:rPr>
          <w:t>5.2. Djeca lišena porodičnog okruženja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_Toc484780058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16</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59" w:history="1">
        <w:r w:rsidR="007A4CA1" w:rsidRPr="007A4CA1">
          <w:rPr>
            <w:rFonts w:ascii="Arial Narrow" w:eastAsia="Times New Roman" w:hAnsi="Arial Narrow"/>
            <w:noProof/>
            <w:color w:val="0563C1" w:themeColor="hyperlink"/>
            <w:sz w:val="24"/>
            <w:u w:val="single"/>
          </w:rPr>
          <w:t>5.3. Usvojenje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_Toc484780059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16</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60" w:history="1">
        <w:r w:rsidR="007A4CA1" w:rsidRPr="007A4CA1">
          <w:rPr>
            <w:rFonts w:ascii="Arial Narrow" w:eastAsia="Times New Roman" w:hAnsi="Arial Narrow"/>
            <w:noProof/>
            <w:color w:val="0563C1" w:themeColor="hyperlink"/>
            <w:sz w:val="24"/>
            <w:u w:val="single"/>
          </w:rPr>
          <w:t>5.4. Zlostavljanje i zanemarivanje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_Toc484780060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17</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61" w:history="1">
        <w:r w:rsidR="007A4CA1" w:rsidRPr="007A4CA1">
          <w:rPr>
            <w:rFonts w:ascii="Arial Narrow" w:eastAsia="Times New Roman" w:hAnsi="Arial Narrow"/>
            <w:noProof/>
            <w:color w:val="0563C1" w:themeColor="hyperlink"/>
            <w:sz w:val="24"/>
            <w:u w:val="single"/>
          </w:rPr>
          <w:t>VI OSNOVNO ZDRAVLJE I DOBROBIT</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_Toc484780061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18</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62" w:history="1">
        <w:r w:rsidR="007A4CA1" w:rsidRPr="007A4CA1">
          <w:rPr>
            <w:rFonts w:ascii="Arial Narrow" w:eastAsia="Times New Roman" w:hAnsi="Arial Narrow"/>
            <w:noProof/>
            <w:color w:val="0563C1" w:themeColor="hyperlink"/>
            <w:sz w:val="24"/>
            <w:u w:val="single"/>
          </w:rPr>
          <w:t>6.1. Djeca sa smetnjama i teškoćama u razvoju</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_Toc484780062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18</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63" w:history="1">
        <w:r w:rsidR="007A4CA1" w:rsidRPr="007A4CA1">
          <w:rPr>
            <w:rFonts w:ascii="Arial Narrow" w:eastAsia="Times New Roman" w:hAnsi="Arial Narrow"/>
            <w:noProof/>
            <w:color w:val="0563C1" w:themeColor="hyperlink"/>
            <w:sz w:val="24"/>
            <w:u w:val="single"/>
          </w:rPr>
          <w:t>6.2. Zdravlje i zdravstvene usluge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_Toc484780063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19</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64" w:history="1">
        <w:r w:rsidR="007A4CA1" w:rsidRPr="007A4CA1">
          <w:rPr>
            <w:rFonts w:ascii="Arial Narrow" w:eastAsia="Times New Roman" w:hAnsi="Arial Narrow"/>
            <w:noProof/>
            <w:color w:val="0563C1" w:themeColor="hyperlink"/>
            <w:sz w:val="24"/>
            <w:u w:val="single"/>
          </w:rPr>
          <w:t>6.3. Dojenje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_Toc484780064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20</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65" w:history="1">
        <w:r w:rsidR="007A4CA1" w:rsidRPr="007A4CA1">
          <w:rPr>
            <w:rFonts w:ascii="Arial Narrow" w:eastAsia="Times New Roman" w:hAnsi="Arial Narrow"/>
            <w:noProof/>
            <w:color w:val="0563C1" w:themeColor="hyperlink"/>
            <w:sz w:val="24"/>
            <w:u w:val="single"/>
          </w:rPr>
          <w:t>6.4. Zdravlje adolescenata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_Toc484780065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20</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66" w:history="1">
        <w:r w:rsidR="007A4CA1" w:rsidRPr="007A4CA1">
          <w:rPr>
            <w:rFonts w:ascii="Arial Narrow" w:eastAsia="Times New Roman" w:hAnsi="Arial Narrow"/>
            <w:noProof/>
            <w:color w:val="0563C1" w:themeColor="hyperlink"/>
            <w:sz w:val="24"/>
            <w:u w:val="single"/>
          </w:rPr>
          <w:t>6.5. Hiv/Aids</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_Toc484780066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21</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67" w:history="1">
        <w:r w:rsidR="007A4CA1" w:rsidRPr="007A4CA1">
          <w:rPr>
            <w:rFonts w:ascii="Arial Narrow" w:eastAsia="Times New Roman" w:hAnsi="Arial Narrow"/>
            <w:noProof/>
            <w:color w:val="0563C1" w:themeColor="hyperlink"/>
            <w:sz w:val="24"/>
            <w:u w:val="single"/>
          </w:rPr>
          <w:t>6.6. Standard života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_Toc484780067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21</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68" w:history="1">
        <w:r w:rsidR="007A4CA1" w:rsidRPr="007A4CA1">
          <w:rPr>
            <w:rFonts w:ascii="Arial Narrow" w:eastAsia="Times New Roman" w:hAnsi="Arial Narrow"/>
            <w:noProof/>
            <w:color w:val="0563C1" w:themeColor="hyperlink"/>
            <w:sz w:val="24"/>
            <w:u w:val="single"/>
          </w:rPr>
          <w:t>VII OBRAZOVANJE, SLOBODNO VRIJEME I KULTURNE AKTIVNOSTI</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_Toc484780068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22</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69" w:history="1">
        <w:r w:rsidR="007A4CA1" w:rsidRPr="007A4CA1">
          <w:rPr>
            <w:rFonts w:ascii="Arial Narrow" w:eastAsia="Times New Roman" w:hAnsi="Arial Narrow"/>
            <w:noProof/>
            <w:color w:val="0563C1" w:themeColor="hyperlink"/>
            <w:sz w:val="24"/>
            <w:u w:val="single"/>
          </w:rPr>
          <w:t>7.1. Obrazovanje, uključujući i stručno obrazovanje i usmjeravanje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_Toc484780069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22</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70" w:history="1">
        <w:r w:rsidR="007A4CA1" w:rsidRPr="007A4CA1">
          <w:rPr>
            <w:rFonts w:ascii="Arial Narrow" w:eastAsia="Times New Roman" w:hAnsi="Arial Narrow"/>
            <w:noProof/>
            <w:color w:val="0563C1" w:themeColor="hyperlink"/>
            <w:sz w:val="24"/>
            <w:u w:val="single"/>
          </w:rPr>
          <w:t>VII POSEBNE MJERE ZAŠTITE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_Toc484780070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23</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71" w:history="1">
        <w:r w:rsidR="007A4CA1" w:rsidRPr="007A4CA1">
          <w:rPr>
            <w:rFonts w:ascii="Arial Narrow" w:eastAsia="Times New Roman" w:hAnsi="Arial Narrow"/>
            <w:noProof/>
            <w:color w:val="0563C1" w:themeColor="hyperlink"/>
            <w:sz w:val="24"/>
            <w:u w:val="single"/>
          </w:rPr>
          <w:t>8.1. Djeca azilanti i djeca izbjeglice/raseljena lica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_Toc484780071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23</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72" w:history="1">
        <w:r w:rsidR="007A4CA1" w:rsidRPr="007A4CA1">
          <w:rPr>
            <w:rFonts w:ascii="Arial Narrow" w:eastAsia="Times New Roman" w:hAnsi="Arial Narrow"/>
            <w:noProof/>
            <w:color w:val="0563C1" w:themeColor="hyperlink"/>
            <w:sz w:val="24"/>
            <w:u w:val="single"/>
          </w:rPr>
          <w:t>8.2. Ekonomska eksploatacija uključujući i rad djece i djecu na ulici</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_Toc484780072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24</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73" w:history="1">
        <w:r w:rsidR="007A4CA1" w:rsidRPr="007A4CA1">
          <w:rPr>
            <w:rFonts w:ascii="Arial Narrow" w:eastAsia="Times New Roman" w:hAnsi="Arial Narrow"/>
            <w:noProof/>
            <w:color w:val="0563C1" w:themeColor="hyperlink"/>
            <w:sz w:val="24"/>
            <w:u w:val="single"/>
          </w:rPr>
          <w:t>8.3. Djeca na ulici</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_Toc484780073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24</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74" w:history="1">
        <w:r w:rsidR="007A4CA1" w:rsidRPr="007A4CA1">
          <w:rPr>
            <w:rFonts w:ascii="Arial Narrow" w:eastAsia="Times New Roman" w:hAnsi="Arial Narrow"/>
            <w:noProof/>
            <w:color w:val="0563C1" w:themeColor="hyperlink"/>
            <w:sz w:val="24"/>
            <w:u w:val="single"/>
          </w:rPr>
          <w:t>8.4. Seksualna eksploatacija i zlostavljanje</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_Toc484780074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25</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75" w:history="1">
        <w:r w:rsidR="007A4CA1" w:rsidRPr="007A4CA1">
          <w:rPr>
            <w:rFonts w:ascii="Arial Narrow" w:eastAsia="Times New Roman" w:hAnsi="Arial Narrow"/>
            <w:noProof/>
            <w:color w:val="0563C1" w:themeColor="hyperlink"/>
            <w:sz w:val="24"/>
            <w:u w:val="single"/>
          </w:rPr>
          <w:t>8.5. Prodaja, trgovina i otmica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_Toc484780075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26</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76" w:history="1">
        <w:r w:rsidR="007A4CA1" w:rsidRPr="007A4CA1">
          <w:rPr>
            <w:rFonts w:ascii="Arial Narrow" w:eastAsia="Times New Roman" w:hAnsi="Arial Narrow"/>
            <w:noProof/>
            <w:color w:val="0563C1" w:themeColor="hyperlink"/>
            <w:sz w:val="24"/>
            <w:u w:val="single"/>
          </w:rPr>
          <w:t>8.6. Sos telefoni</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_Toc484780076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26</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ind w:left="240"/>
        <w:jc w:val="both"/>
        <w:rPr>
          <w:rFonts w:eastAsiaTheme="minorEastAsia"/>
          <w:noProof/>
        </w:rPr>
      </w:pPr>
      <w:hyperlink w:anchor="_Toc484780077" w:history="1">
        <w:r w:rsidR="007A4CA1" w:rsidRPr="007A4CA1">
          <w:rPr>
            <w:rFonts w:ascii="Arial Narrow" w:eastAsia="Times New Roman" w:hAnsi="Arial Narrow"/>
            <w:noProof/>
            <w:color w:val="0563C1" w:themeColor="hyperlink"/>
            <w:sz w:val="24"/>
            <w:u w:val="single"/>
          </w:rPr>
          <w:t>8.7. Administracija maloljetničkog pravosuđa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_Toc484780077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26</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eastAsiaTheme="minorEastAsia"/>
          <w:noProof/>
        </w:rPr>
      </w:pPr>
      <w:hyperlink w:anchor="_Toc484780078" w:history="1">
        <w:r w:rsidR="007A4CA1" w:rsidRPr="007A4CA1">
          <w:rPr>
            <w:rFonts w:ascii="Arial Narrow" w:eastAsia="Times New Roman" w:hAnsi="Arial Narrow"/>
            <w:noProof/>
            <w:color w:val="0563C1" w:themeColor="hyperlink"/>
            <w:sz w:val="24"/>
            <w:u w:val="single"/>
            <w:lang w:val="bs-Latn-BA" w:eastAsia="bs-Latn-BA"/>
          </w:rPr>
          <w:t>IX Fakultativni protokol uz Konvenciju o pravima djeteta, o prodaji djece, dječjoj prostituciji i pornografiji</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_Toc484780078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27</w:t>
        </w:r>
        <w:r w:rsidR="007A4CA1" w:rsidRPr="007A4CA1">
          <w:rPr>
            <w:rFonts w:ascii="Arial Narrow" w:hAnsi="Arial Narrow"/>
            <w:noProof/>
            <w:webHidden/>
            <w:sz w:val="24"/>
          </w:rPr>
          <w:fldChar w:fldCharType="end"/>
        </w:r>
      </w:hyperlink>
    </w:p>
    <w:p w:rsidR="007A4CA1" w:rsidRPr="007A4CA1" w:rsidRDefault="008B574A" w:rsidP="007A4CA1">
      <w:pPr>
        <w:tabs>
          <w:tab w:val="right" w:leader="dot" w:pos="9736"/>
        </w:tabs>
        <w:spacing w:after="0" w:line="240" w:lineRule="auto"/>
        <w:jc w:val="both"/>
        <w:rPr>
          <w:rFonts w:ascii="Arial Narrow" w:hAnsi="Arial Narrow"/>
          <w:noProof/>
          <w:color w:val="0563C1" w:themeColor="hyperlink"/>
          <w:sz w:val="24"/>
          <w:u w:val="single"/>
        </w:rPr>
      </w:pPr>
      <w:hyperlink w:anchor="_Toc484780079" w:history="1">
        <w:r w:rsidR="007A4CA1" w:rsidRPr="007A4CA1">
          <w:rPr>
            <w:rFonts w:ascii="Arial Narrow" w:eastAsia="Times New Roman" w:hAnsi="Arial Narrow"/>
            <w:noProof/>
            <w:color w:val="0563C1" w:themeColor="hyperlink"/>
            <w:sz w:val="24"/>
            <w:u w:val="single"/>
          </w:rPr>
          <w:t>X Fakultativni protokol uz konvenciju o pravima djeteta o učešću djece u oružanim sukobima</w:t>
        </w:r>
        <w:r w:rsidR="007A4CA1" w:rsidRPr="007A4CA1">
          <w:rPr>
            <w:rFonts w:ascii="Arial Narrow" w:hAnsi="Arial Narrow"/>
            <w:noProof/>
            <w:webHidden/>
            <w:sz w:val="24"/>
          </w:rPr>
          <w:tab/>
        </w:r>
        <w:r w:rsidR="007A4CA1" w:rsidRPr="007A4CA1">
          <w:rPr>
            <w:rFonts w:ascii="Arial Narrow" w:hAnsi="Arial Narrow"/>
            <w:noProof/>
            <w:webHidden/>
            <w:sz w:val="24"/>
          </w:rPr>
          <w:fldChar w:fldCharType="begin"/>
        </w:r>
        <w:r w:rsidR="007A4CA1" w:rsidRPr="007A4CA1">
          <w:rPr>
            <w:rFonts w:ascii="Arial Narrow" w:hAnsi="Arial Narrow"/>
            <w:noProof/>
            <w:webHidden/>
            <w:sz w:val="24"/>
          </w:rPr>
          <w:instrText xml:space="preserve"> PAGEREF _Toc484780079 \h </w:instrText>
        </w:r>
        <w:r w:rsidR="007A4CA1" w:rsidRPr="007A4CA1">
          <w:rPr>
            <w:rFonts w:ascii="Arial Narrow" w:hAnsi="Arial Narrow"/>
            <w:noProof/>
            <w:webHidden/>
            <w:sz w:val="24"/>
          </w:rPr>
        </w:r>
        <w:r w:rsidR="007A4CA1" w:rsidRPr="007A4CA1">
          <w:rPr>
            <w:rFonts w:ascii="Arial Narrow" w:hAnsi="Arial Narrow"/>
            <w:noProof/>
            <w:webHidden/>
            <w:sz w:val="24"/>
          </w:rPr>
          <w:fldChar w:fldCharType="separate"/>
        </w:r>
        <w:r w:rsidR="007A4CA1" w:rsidRPr="007A4CA1">
          <w:rPr>
            <w:rFonts w:ascii="Arial Narrow" w:hAnsi="Arial Narrow"/>
            <w:noProof/>
            <w:webHidden/>
            <w:sz w:val="24"/>
          </w:rPr>
          <w:t>28</w:t>
        </w:r>
        <w:r w:rsidR="007A4CA1" w:rsidRPr="007A4CA1">
          <w:rPr>
            <w:rFonts w:ascii="Arial Narrow" w:hAnsi="Arial Narrow"/>
            <w:noProof/>
            <w:webHidden/>
            <w:sz w:val="24"/>
          </w:rPr>
          <w:fldChar w:fldCharType="end"/>
        </w:r>
      </w:hyperlink>
    </w:p>
    <w:p w:rsidR="007A4CA1" w:rsidRPr="007A4CA1" w:rsidRDefault="007A4CA1" w:rsidP="007A4CA1">
      <w:pPr>
        <w:spacing w:after="0" w:line="240" w:lineRule="auto"/>
        <w:jc w:val="both"/>
        <w:rPr>
          <w:rFonts w:ascii="Arial Narrow" w:hAnsi="Arial Narrow"/>
          <w:noProof/>
          <w:sz w:val="24"/>
        </w:rPr>
      </w:pPr>
      <w:r w:rsidRPr="007A4CA1">
        <w:rPr>
          <w:rFonts w:ascii="Arial Narrow" w:hAnsi="Arial Narrow"/>
          <w:noProof/>
          <w:sz w:val="24"/>
        </w:rPr>
        <w:t>XI ANEKS - Izvještaj zlatnih savjetnika Zaštitnika o ispunjenost preporuka UN Komiteta za prava djeteta</w:t>
      </w: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lang w:val="sr-Latn-CS"/>
        </w:rPr>
      </w:pPr>
      <w:r w:rsidRPr="007A4CA1">
        <w:rPr>
          <w:rFonts w:ascii="Arial Narrow" w:eastAsia="Times New Roman" w:hAnsi="Arial Narrow" w:cstheme="majorBidi"/>
          <w:b/>
          <w:sz w:val="32"/>
          <w:szCs w:val="32"/>
          <w:lang w:val="sr-Latn-CS"/>
        </w:rPr>
        <w:lastRenderedPageBreak/>
        <w:fldChar w:fldCharType="end"/>
      </w:r>
      <w:bookmarkStart w:id="0" w:name="_Toc484780036"/>
      <w:r w:rsidRPr="007A4CA1">
        <w:rPr>
          <w:rFonts w:ascii="Arial Narrow" w:eastAsia="Times New Roman" w:hAnsi="Arial Narrow" w:cstheme="majorBidi"/>
          <w:b/>
          <w:sz w:val="32"/>
          <w:szCs w:val="32"/>
          <w:lang w:val="sr-Latn-CS"/>
        </w:rPr>
        <w:t>UVOD</w:t>
      </w:r>
      <w:bookmarkEnd w:id="0"/>
    </w:p>
    <w:p w:rsidR="007A4CA1" w:rsidRPr="007A4CA1" w:rsidRDefault="007A4CA1" w:rsidP="007A4CA1">
      <w:pPr>
        <w:spacing w:after="0" w:line="240" w:lineRule="auto"/>
        <w:jc w:val="both"/>
        <w:rPr>
          <w:rFonts w:ascii="Arial Narrow" w:eastAsia="Times New Roman" w:hAnsi="Arial Narrow" w:cs="Times New Roman"/>
          <w:b/>
          <w:sz w:val="24"/>
          <w:szCs w:val="24"/>
          <w:lang w:val="sr-Latn-CS"/>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Zaštitnik ljudskih prava i sloboda Crne Gore (u daljem tekstu: Zaštitnik) je nezavisna i samostalna institucija, osnovana 2003. godine, koja </w:t>
      </w:r>
      <w:r w:rsidRPr="007A4CA1">
        <w:rPr>
          <w:rFonts w:ascii="Arial Narrow" w:hAnsi="Arial Narrow"/>
          <w:sz w:val="24"/>
          <w:szCs w:val="24"/>
        </w:rPr>
        <w:t xml:space="preserve">između ostalih poslova obavlja i poslove koji se odnose na </w:t>
      </w:r>
      <w:r w:rsidRPr="007A4CA1">
        <w:rPr>
          <w:rFonts w:ascii="Arial Narrow" w:hAnsi="Arial Narrow"/>
          <w:b/>
          <w:i/>
          <w:sz w:val="24"/>
          <w:szCs w:val="24"/>
        </w:rPr>
        <w:t>zaštitu i promociju prava djeteta</w:t>
      </w:r>
      <w:r w:rsidRPr="007A4CA1">
        <w:rPr>
          <w:rFonts w:ascii="Arial Narrow" w:hAnsi="Arial Narrow"/>
          <w:sz w:val="24"/>
          <w:szCs w:val="24"/>
        </w:rPr>
        <w:t xml:space="preserve">. </w:t>
      </w:r>
    </w:p>
    <w:p w:rsidR="007A4CA1" w:rsidRPr="007A4CA1" w:rsidRDefault="007A4CA1" w:rsidP="007A4CA1">
      <w:pPr>
        <w:spacing w:after="0" w:line="240" w:lineRule="auto"/>
        <w:jc w:val="both"/>
        <w:rPr>
          <w:rFonts w:ascii="Arial Narrow" w:eastAsia="Times New Roman" w:hAnsi="Arial Narrow" w:cs="Times New Roman"/>
          <w:sz w:val="24"/>
          <w:szCs w:val="24"/>
          <w:lang w:val="sr-Latn-CS"/>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lang w:val="sr-Latn-CS"/>
        </w:rPr>
        <w:t xml:space="preserve">U periodu od 01.01.2010. godine do 01.01.2017. godine u radu Zaštitnika iz oblasti prava djeteta bilo su 684 predmeta (formirana po pritužbama i sopstvenim inicijativama – ex officio). Posmatrano po godinama evidentan je trend rasta, koji je izraženiji u posljednjim godinama, a što je posljedica sve veće vidljivosti i uloge Zaštitnika u zaštiti prava djeteta ali i izazova u ostvarivanju prava djeteta. </w:t>
      </w:r>
      <w:r w:rsidRPr="007A4CA1">
        <w:rPr>
          <w:rFonts w:ascii="Arial Narrow" w:eastAsia="Times New Roman" w:hAnsi="Arial Narrow" w:cs="Times New Roman"/>
          <w:sz w:val="24"/>
          <w:szCs w:val="24"/>
        </w:rPr>
        <w:t>Tokom izvještajnog perioda Zaštitnik je davao mišljenja na predloge zakona i inicirao izmjene i dopune važećih zakonskih rješenja.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lang w:val="sr-Latn-ME"/>
        </w:rPr>
      </w:pPr>
      <w:r w:rsidRPr="007A4CA1">
        <w:rPr>
          <w:rFonts w:ascii="Arial Narrow" w:eastAsia="Times New Roman" w:hAnsi="Arial Narrow" w:cs="Times New Roman"/>
          <w:sz w:val="24"/>
          <w:szCs w:val="24"/>
        </w:rPr>
        <w:t xml:space="preserve">Aktivnosti koje sprovodimo ogledaju se i u obilascima obrazovnih, zdravstvenih ustanova, ustanova za brigu i smještaj djece i dnevnih centara, provjeravanjem uslova rada sa djecom i uslova njihovog boravka, kao i kvaliteta sprovođenja programa i tretmana djece. </w:t>
      </w:r>
      <w:r w:rsidRPr="007A4CA1">
        <w:rPr>
          <w:rFonts w:ascii="Arial Narrow" w:eastAsia="Times New Roman" w:hAnsi="Arial Narrow" w:cs="Times New Roman"/>
          <w:sz w:val="24"/>
          <w:szCs w:val="24"/>
          <w:lang w:val="sr-Latn-ME"/>
        </w:rPr>
        <w:t>Redovno se realizuju edukativno-promotivne radionice u obrazovnim ustanovama i ustanovama u kojima borave djeca.</w:t>
      </w:r>
    </w:p>
    <w:p w:rsidR="007A4CA1" w:rsidRPr="007A4CA1" w:rsidRDefault="007A4CA1" w:rsidP="007A4CA1">
      <w:pPr>
        <w:spacing w:after="0" w:line="240" w:lineRule="auto"/>
        <w:jc w:val="both"/>
        <w:rPr>
          <w:rFonts w:ascii="Arial Narrow" w:eastAsia="Times New Roman" w:hAnsi="Arial Narrow" w:cs="Times New Roman"/>
          <w:sz w:val="24"/>
          <w:szCs w:val="24"/>
          <w:lang w:val="sr-Latn-ME"/>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lang w:val="sr-Latn-ME"/>
        </w:rPr>
        <w:t xml:space="preserve">Znatan dio našeg rada odnosio se na </w:t>
      </w:r>
      <w:r w:rsidRPr="007A4CA1">
        <w:rPr>
          <w:rFonts w:ascii="Arial Narrow" w:eastAsia="Times New Roman" w:hAnsi="Arial Narrow" w:cs="Times New Roman"/>
          <w:sz w:val="24"/>
          <w:szCs w:val="24"/>
        </w:rPr>
        <w:t xml:space="preserve">kontinuirani i intenzivan neposredni rad sa djecom, sprovodeći aktivnosti definisane kampanjama “Obrati se Zaštitniku” i “Djeco pišite Ombudsmanu”, kao i kroz aktivnosti Mreže Zlatnih savjetnika. U cilju približavanja djeci i ostvarivanja direktne komunikacije sa njima, Zaštitnik u okviru svoje aktuelne internet stranice ima poseban dio namjenjen djeci, kao i Blog putem kojeg mu se djeca direktno obraćaju, podnose pritužbe, postavljaju pitanja, ukazuju na probleme i daju predloge. Osim toga, na aktuelnoj društvenoj mreži Facebook otvorena je grupa „Djeco pišite </w:t>
      </w:r>
      <w:proofErr w:type="gramStart"/>
      <w:r w:rsidRPr="007A4CA1">
        <w:rPr>
          <w:rFonts w:ascii="Arial Narrow" w:eastAsia="Times New Roman" w:hAnsi="Arial Narrow" w:cs="Times New Roman"/>
          <w:sz w:val="24"/>
          <w:szCs w:val="24"/>
        </w:rPr>
        <w:t>Ombudsmanu“ preko</w:t>
      </w:r>
      <w:proofErr w:type="gramEnd"/>
      <w:r w:rsidRPr="007A4CA1">
        <w:rPr>
          <w:rFonts w:ascii="Arial Narrow" w:eastAsia="Times New Roman" w:hAnsi="Arial Narrow" w:cs="Times New Roman"/>
          <w:sz w:val="24"/>
          <w:szCs w:val="24"/>
        </w:rPr>
        <w:t xml:space="preserve"> koje je unaprijeđena redovna i direktna komunikacija sa djecom. Takođe, u okviru zvanične internet stranice formiran je i odeljak „Hrabro </w:t>
      </w:r>
      <w:proofErr w:type="gramStart"/>
      <w:r w:rsidRPr="007A4CA1">
        <w:rPr>
          <w:rFonts w:ascii="Arial Narrow" w:eastAsia="Times New Roman" w:hAnsi="Arial Narrow" w:cs="Times New Roman"/>
          <w:sz w:val="24"/>
          <w:szCs w:val="24"/>
        </w:rPr>
        <w:t>sanduče“ kao</w:t>
      </w:r>
      <w:proofErr w:type="gramEnd"/>
      <w:r w:rsidRPr="007A4CA1">
        <w:rPr>
          <w:rFonts w:ascii="Arial Narrow" w:eastAsia="Times New Roman" w:hAnsi="Arial Narrow" w:cs="Times New Roman"/>
          <w:sz w:val="24"/>
          <w:szCs w:val="24"/>
        </w:rPr>
        <w:t xml:space="preserve"> još jedna mogućnost da nam se djeca obraćaju.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Ovo je drugi Izvještaj koji Zaštitnik podnosi Komitetu za prava djeteta UN-a, o poštovanju prava djeteta u Crnoj Gori, primjeni Konvencije i njenih Protokola i primjeni preporuka Komiteta datih Crnoj Gori 2010 godine. Izvještaj je urađen na osnovu našeg poznavanja stanja prava djece, pritužbi dobijenih od djece i roditelja, kontakata sa djecom i njihovih mišljenja, kontakata sa ekspertima, praktičarima i organizacijama civilnog sektora.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Ovaj Izvještaj prati strukturu državnog Izvještaja koji je Komitetu dostavljen oktobra 2015. godine.  Sa mnogim navodima iz državnog Izvještaja sm</w:t>
      </w:r>
      <w:r w:rsidR="00A93D45">
        <w:rPr>
          <w:rFonts w:ascii="Arial Narrow" w:eastAsia="Times New Roman" w:hAnsi="Arial Narrow" w:cs="Times New Roman"/>
          <w:sz w:val="24"/>
          <w:szCs w:val="24"/>
        </w:rPr>
        <w:t>o s</w:t>
      </w:r>
      <w:bookmarkStart w:id="1" w:name="_GoBack"/>
      <w:bookmarkEnd w:id="1"/>
      <w:r w:rsidRPr="007A4CA1">
        <w:rPr>
          <w:rFonts w:ascii="Arial Narrow" w:eastAsia="Times New Roman" w:hAnsi="Arial Narrow" w:cs="Times New Roman"/>
          <w:sz w:val="24"/>
          <w:szCs w:val="24"/>
        </w:rPr>
        <w:t>aglasni, a naše primjedbe se odnose na one djelove koji nijesu u skladu sa saznanjima i stavovima Zaštitnika.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Posmatrano u cjelini, može se zaključiti da je ostvaren određeni napredak u oblasti prava djeteta u CG, kao i ispunjenju preporuka Komiteta, ali su i dalje prisutne slabosti i razlike u ostvarivanju prava djece: sjever-jug, selo – grad i u pogledu ostvarivanja prava ranjivih kategorija djece. U tom smislu Zaštitnik podnosi ovaj Izvještaj kao nezavisana i samostalna institucija o stanju prava djece u Crnoj Gori, sa preporukama.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Uz ovaj Izvještaj prilažemo i Izvještaj koji su uradila djeca Zlatni savjetnici Zaštitnika, a koji je nastao u konsultativnom procesu uz podršku Save the Children-a.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Akti Zaštitnika navedeni u izvještaju (mišljenja, inicijative, istraživanja, godišnji i posebni izvještaji) nalaze se na sajtu Institucije </w:t>
      </w:r>
      <w:hyperlink r:id="rId7" w:history="1">
        <w:r w:rsidRPr="007A4CA1">
          <w:rPr>
            <w:rFonts w:ascii="Arial Narrow" w:eastAsia="Times New Roman" w:hAnsi="Arial Narrow" w:cs="Times New Roman"/>
            <w:color w:val="0563C1" w:themeColor="hyperlink"/>
            <w:sz w:val="24"/>
            <w:szCs w:val="24"/>
            <w:u w:val="single"/>
          </w:rPr>
          <w:t>www.ombudsman.co.me</w:t>
        </w:r>
      </w:hyperlink>
      <w:r w:rsidRPr="007A4CA1">
        <w:rPr>
          <w:rFonts w:ascii="Arial Narrow" w:eastAsia="Times New Roman" w:hAnsi="Arial Narrow" w:cs="Times New Roman"/>
          <w:sz w:val="24"/>
          <w:szCs w:val="24"/>
        </w:rPr>
        <w:t>. Izrazi koji su u ovom Izvještaju upotrijebljeni u muškom gramatičkom rodu obuhvataju iste izraze u ženskom rodu.</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2" w:name="_Toc484780037"/>
      <w:r w:rsidRPr="007A4CA1">
        <w:rPr>
          <w:rFonts w:ascii="Arial Narrow" w:eastAsia="Times New Roman" w:hAnsi="Arial Narrow" w:cstheme="majorBidi"/>
          <w:b/>
          <w:sz w:val="32"/>
          <w:szCs w:val="32"/>
        </w:rPr>
        <w:lastRenderedPageBreak/>
        <w:t>I OPŠTE MJERE PRIMJENE</w:t>
      </w:r>
      <w:bookmarkEnd w:id="2"/>
      <w:r w:rsidRPr="007A4CA1">
        <w:rPr>
          <w:rFonts w:ascii="Arial Narrow" w:eastAsia="Times New Roman" w:hAnsi="Arial Narrow" w:cstheme="majorBidi"/>
          <w:b/>
          <w:sz w:val="32"/>
          <w:szCs w:val="32"/>
        </w:rPr>
        <w:t xml:space="preserve"> </w:t>
      </w:r>
    </w:p>
    <w:p w:rsidR="007A4CA1" w:rsidRPr="007A4CA1" w:rsidRDefault="007A4CA1" w:rsidP="007A4CA1">
      <w:pPr>
        <w:spacing w:after="0" w:line="240" w:lineRule="auto"/>
        <w:jc w:val="center"/>
        <w:rPr>
          <w:rFonts w:ascii="Arial Narrow" w:hAnsi="Arial Narrow"/>
          <w:b/>
          <w:sz w:val="24"/>
        </w:rPr>
      </w:pPr>
      <w:r w:rsidRPr="007A4CA1">
        <w:rPr>
          <w:rFonts w:ascii="Arial Narrow" w:hAnsi="Arial Narrow"/>
          <w:b/>
          <w:sz w:val="24"/>
        </w:rPr>
        <w:t>(Čl.4, 42 i 44, stav 6 Konvencije)</w:t>
      </w:r>
    </w:p>
    <w:p w:rsidR="007A4CA1" w:rsidRPr="007A4CA1" w:rsidRDefault="007A4CA1" w:rsidP="007A4CA1">
      <w:pPr>
        <w:spacing w:after="0" w:line="240" w:lineRule="auto"/>
        <w:ind w:left="720"/>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 w:name="_Toc484780038"/>
      <w:r w:rsidRPr="007A4CA1">
        <w:rPr>
          <w:rFonts w:ascii="Arial Narrow" w:eastAsiaTheme="majorEastAsia" w:hAnsi="Arial Narrow" w:cstheme="majorBidi"/>
          <w:b/>
          <w:sz w:val="28"/>
          <w:szCs w:val="26"/>
        </w:rPr>
        <w:t>1.1. Zakonodavstvo</w:t>
      </w:r>
      <w:bookmarkEnd w:id="3"/>
      <w:r w:rsidRPr="007A4CA1">
        <w:rPr>
          <w:rFonts w:ascii="Arial Narrow" w:eastAsia="Times New Roman" w:hAnsi="Arial Narrow" w:cstheme="majorBidi"/>
          <w:b/>
          <w:sz w:val="28"/>
          <w:szCs w:val="26"/>
        </w:rPr>
        <w:t xml:space="preserve"> </w:t>
      </w:r>
    </w:p>
    <w:p w:rsidR="007A4CA1" w:rsidRPr="007A4CA1" w:rsidRDefault="007A4CA1" w:rsidP="007A4CA1">
      <w:pPr>
        <w:spacing w:after="0" w:line="240" w:lineRule="auto"/>
        <w:jc w:val="both"/>
        <w:rPr>
          <w:rFonts w:ascii="Arial Narrow" w:hAnsi="Arial Narrow"/>
          <w:sz w:val="24"/>
        </w:rPr>
      </w:pPr>
      <w:r w:rsidRPr="007A4CA1">
        <w:rPr>
          <w:rFonts w:ascii="Arial Narrow" w:eastAsia="Times New Roman" w:hAnsi="Arial Narrow" w:cs="Times New Roman"/>
          <w:b/>
          <w:sz w:val="24"/>
          <w:szCs w:val="24"/>
        </w:rPr>
        <w:t>(Preporuka Komiteta, stav 6, 2010, Državni izvjestaj, stavovi 5-7)</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U izvještajnom periodu je ostvaren značajan napredak u pogledu usaglašavanja nacionalnog zakonodavstva sa Konvencijom o pravima djeteta, ali primjena zakona nije na zadovoljavajućem nivou.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Zapažene su i nejasno</w:t>
      </w:r>
      <w:r w:rsidRPr="007A4CA1">
        <w:rPr>
          <w:rFonts w:ascii="Arial Narrow" w:eastAsia="Times New Roman" w:hAnsi="Arial Narrow" w:cs="Times New Roman"/>
          <w:sz w:val="24"/>
          <w:szCs w:val="24"/>
          <w:lang w:val="sr-Latn-ME"/>
        </w:rPr>
        <w:t xml:space="preserve">će u pogledu nadležnosti i obaveza u primjeni propisa između nacionalnog i lokalnog nivoa. </w:t>
      </w: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Nerijetko se događa da zakoni i podzakonska akta koji se tiču djece i njihovih prava, kod profesionalaca koji ih u praksi primjenjuju stvaraju nedoumice i nejasnoće iz razloga što su suprotstavljeni i neusklađeni u potrebnoj mjeri.</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Zabrinjava praksa donošenja zakona i podzakonskih akata uz obrazloženje da nijesu potrebna finansijska sredstva za njihovu implementaciju, a što u praksi onemogućava njihovu dosljednu primjenu.</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lang w:val="sr-Latn-ME"/>
        </w:rPr>
      </w:pPr>
      <w:r w:rsidRPr="007A4CA1">
        <w:rPr>
          <w:rFonts w:ascii="Arial Narrow" w:eastAsia="Times New Roman" w:hAnsi="Arial Narrow" w:cs="Times New Roman"/>
          <w:sz w:val="24"/>
          <w:szCs w:val="24"/>
        </w:rPr>
        <w:t>U skladu sa nadležnostima, Zaštitnik je dao</w:t>
      </w:r>
      <w:r w:rsidRPr="007A4CA1">
        <w:rPr>
          <w:rFonts w:ascii="Arial Narrow" w:eastAsia="Times New Roman" w:hAnsi="Arial Narrow" w:cs="Times New Roman"/>
          <w:sz w:val="24"/>
          <w:szCs w:val="24"/>
          <w:lang w:val="sr-Latn-ME"/>
        </w:rPr>
        <w:t>: Misljenje na Predlog Zakona o izmjenama i dopunama Porodičnog zakona (2015), Mišljenje na Nacrt Zakona o zaštiti stanovništva od zaraznih bolesti (2016) i Inicijativu za Izmjene i dopune Zakona o vaspitanju i obrazovanju djece sa posebnim obrazovnim potrebama (2016).</w:t>
      </w:r>
    </w:p>
    <w:p w:rsidR="007A4CA1" w:rsidRPr="007A4CA1" w:rsidRDefault="007A4CA1" w:rsidP="007A4CA1">
      <w:pPr>
        <w:spacing w:after="0" w:line="240" w:lineRule="auto"/>
        <w:jc w:val="both"/>
        <w:rPr>
          <w:rFonts w:ascii="Arial Narrow" w:eastAsia="Times New Roman" w:hAnsi="Arial Narrow" w:cs="Times New Roman"/>
          <w:b/>
          <w:sz w:val="24"/>
          <w:szCs w:val="24"/>
        </w:rPr>
      </w:pPr>
    </w:p>
    <w:tbl>
      <w:tblPr>
        <w:tblStyle w:val="TableGrid"/>
        <w:tblW w:w="9751" w:type="dxa"/>
        <w:tblLook w:val="04A0" w:firstRow="1" w:lastRow="0" w:firstColumn="1" w:lastColumn="0" w:noHBand="0" w:noVBand="1"/>
      </w:tblPr>
      <w:tblGrid>
        <w:gridCol w:w="9751"/>
      </w:tblGrid>
      <w:tr w:rsidR="007A4CA1" w:rsidRPr="007A4CA1" w:rsidTr="00396825">
        <w:trPr>
          <w:trHeight w:val="3207"/>
        </w:trPr>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dosljednu primjenu usvojenih zakona koji se odnose na djecu, sa posebnim naglaskom na obezbjeđenje dovoljnih ljudskih, tehničkih i finansijskih resursa;</w:t>
            </w:r>
          </w:p>
          <w:p w:rsidR="007A4CA1" w:rsidRPr="007A4CA1" w:rsidRDefault="007A4CA1" w:rsidP="007A4CA1">
            <w:pPr>
              <w:numPr>
                <w:ilvl w:val="0"/>
                <w:numId w:val="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Uraditi analizu zakona sa aspekta jasnog definisanja nadležnosti nacionalnog i lokalnog nivoa kako bi se osigurala njihova dosljedna primjena;</w:t>
            </w:r>
          </w:p>
          <w:p w:rsidR="007A4CA1" w:rsidRPr="007A4CA1" w:rsidRDefault="007A4CA1" w:rsidP="007A4CA1">
            <w:pPr>
              <w:numPr>
                <w:ilvl w:val="0"/>
                <w:numId w:val="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Osigurati da se prilikom donošenja zakona i podzakonskih akata izvrši procjena uticaja na ostvarivanje prava djeteta;</w:t>
            </w:r>
          </w:p>
          <w:p w:rsidR="007A4CA1" w:rsidRPr="007A4CA1" w:rsidRDefault="007A4CA1" w:rsidP="007A4CA1">
            <w:pPr>
              <w:numPr>
                <w:ilvl w:val="0"/>
                <w:numId w:val="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Osigurati da se prilikom donošenja zakona i podzakonskih akata uradi cjelovita analiza neophodnih ljudskih, tehničkih i finansijskih resursa za adekvatnu primjenu zakonskih rješenja;</w:t>
            </w:r>
          </w:p>
          <w:p w:rsidR="007A4CA1" w:rsidRPr="007A4CA1" w:rsidRDefault="007A4CA1" w:rsidP="007A4CA1">
            <w:pPr>
              <w:numPr>
                <w:ilvl w:val="0"/>
                <w:numId w:val="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Ustanoviti mehanizam primjene III Opcionog protokola o komunikacijskim procedurama.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4" w:name="_Toc484780039"/>
      <w:r w:rsidRPr="007A4CA1">
        <w:rPr>
          <w:rFonts w:ascii="Arial Narrow" w:eastAsiaTheme="majorEastAsia" w:hAnsi="Arial Narrow" w:cstheme="majorBidi"/>
          <w:b/>
          <w:sz w:val="28"/>
          <w:szCs w:val="26"/>
        </w:rPr>
        <w:t>1.2. Koordinacija</w:t>
      </w:r>
      <w:bookmarkEnd w:id="4"/>
      <w:r w:rsidRPr="007A4CA1">
        <w:rPr>
          <w:rFonts w:ascii="Arial Narrow" w:eastAsia="Times New Roman" w:hAnsi="Arial Narrow" w:cstheme="majorBidi"/>
          <w:b/>
          <w:sz w:val="28"/>
          <w:szCs w:val="26"/>
        </w:rPr>
        <w:t xml:space="preserve"> </w:t>
      </w:r>
    </w:p>
    <w:p w:rsidR="007A4CA1" w:rsidRPr="007A4CA1" w:rsidRDefault="007A4CA1" w:rsidP="007A4CA1">
      <w:pPr>
        <w:spacing w:after="0" w:line="240" w:lineRule="auto"/>
        <w:jc w:val="both"/>
        <w:rPr>
          <w:rFonts w:ascii="Arial Narrow" w:hAnsi="Arial Narrow"/>
          <w:b/>
          <w:sz w:val="24"/>
        </w:rPr>
      </w:pPr>
      <w:r w:rsidRPr="007A4CA1">
        <w:rPr>
          <w:rFonts w:ascii="Arial Narrow" w:hAnsi="Arial Narrow"/>
          <w:b/>
          <w:sz w:val="24"/>
        </w:rPr>
        <w:t>(Preporuka Komiteta, stav 8, 2010, Državni izvjestaj, stav 8)</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Zaključkom Vlade, br.06-486/2 od 14. marta 2013. godine, pozicije savjetodavnih tijela su promijenjene na način da umjesto da ih obra</w:t>
      </w:r>
      <w:r w:rsidRPr="007A4CA1">
        <w:rPr>
          <w:rFonts w:ascii="Arial Narrow" w:eastAsia="Times New Roman" w:hAnsi="Arial Narrow" w:cs="Times New Roman"/>
          <w:sz w:val="24"/>
          <w:szCs w:val="24"/>
          <w:lang w:val="sr-Latn-ME"/>
        </w:rPr>
        <w:t>z</w:t>
      </w:r>
      <w:r w:rsidRPr="007A4CA1">
        <w:rPr>
          <w:rFonts w:ascii="Arial Narrow" w:eastAsia="Times New Roman" w:hAnsi="Arial Narrow" w:cs="Times New Roman"/>
          <w:sz w:val="24"/>
          <w:szCs w:val="24"/>
        </w:rPr>
        <w:t>uje Vlada to čine resorna ministarstva. Time su značaj i uloga Savjeta za prava djeteta umanjeni. Naime, pozicioniranja Savjeta kao tijela kojeg obrazuje ministar rada i socijalnog staranja, a ne Vlada CG, u bitnom mijenja i njegovu poziciju, a koju bi ovo tijelo trebalo da ima. Primjetna je nekonzistentnost u radu Savjeta.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Takođe, zapaža se da struktura Savjeta predviđa učešće samo jednog djeteta – kao člana, što ne omogućava kvalitetnu participaciju i izražavanje stavova djece vezanih za pitanja koja ih se tiču. Nejasan je i model izbora djeteta koje participira u radu Savjeta. Ne postoj model konsultacija sa djecom o pitanjima kojima se Savjet bavi.</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Vratiti poziciju Savjeta za prava djeteta, tako da bude stručno savjetodavno tijelo Vlade CG, čiji stavovi će se uvažavati i koje će imati aktivno učešće u donošenju politika vezanih za djecu kao i za praćenje primjene strateških dokumenata u oblasti prava djeteta;</w:t>
            </w:r>
          </w:p>
          <w:p w:rsidR="007A4CA1" w:rsidRPr="007A4CA1" w:rsidRDefault="007A4CA1" w:rsidP="007A4CA1">
            <w:pPr>
              <w:numPr>
                <w:ilvl w:val="0"/>
                <w:numId w:val="1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Obezbijediti veće učešće djece u radu Savjeta za prava djeteta; </w:t>
            </w:r>
          </w:p>
          <w:p w:rsidR="007A4CA1" w:rsidRPr="007A4CA1" w:rsidRDefault="007A4CA1" w:rsidP="007A4CA1">
            <w:pPr>
              <w:numPr>
                <w:ilvl w:val="0"/>
                <w:numId w:val="1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Osigurati mehanizam koji će obezbijediti aktivnu i kvalitetnu participaciju djece u radu Savjeta;</w:t>
            </w:r>
          </w:p>
          <w:p w:rsidR="007A4CA1" w:rsidRPr="007A4CA1" w:rsidRDefault="007A4CA1" w:rsidP="007A4CA1">
            <w:pPr>
              <w:numPr>
                <w:ilvl w:val="0"/>
                <w:numId w:val="1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dovoljno ljudskih, tehničkih i finansijskih resursa da Savjet može izvršavati svoj mandat.</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 </w:t>
      </w: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5" w:name="_Toc484780040"/>
      <w:r w:rsidRPr="007A4CA1">
        <w:rPr>
          <w:rFonts w:ascii="Arial Narrow" w:eastAsia="Times New Roman" w:hAnsi="Arial Narrow" w:cstheme="majorBidi"/>
          <w:b/>
          <w:sz w:val="28"/>
          <w:szCs w:val="26"/>
        </w:rPr>
        <w:t>1.3. Nacionalni plan akcije za djecu</w:t>
      </w:r>
      <w:bookmarkEnd w:id="5"/>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10, 2010, Državni izvjestaj, stav 9)</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junu 2013. godine Vlada Crne Gore je usvojila Nacionalni plan akcije za djecu (NPAD) za period 2013-2017, kojim je definisana opšta politika zemlje prema djeci kroz identifikovanje osnovnih problema te prepoznatih mehanizama kako bi se postavljeni ciljevi ostvarili u oblastima: građanskih prava i sloboda, socijalnoj zaštiti, obrazovanju, zdravstvenoj zaštiti, posebnim mjerama zaštite i dr.</w:t>
      </w: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Nije obezbijeđen efikasan i djelotvoran mehanizam za odgovarajuću primjenu i praćenje postignuća koja bi poslužila kao dobra osnova za planiranje i prioritizaciju budućih aktivnosti.</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izvještajnom periodu donijet je veliki broj strateških dokumenata koji se u većoj ili manjoj mjeri odnose i na djecu. Nejasan je mehanizam usaglašavanja novih starteških dokumenata sa prioritetima koji su postavljeni NPAD-om.</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implementaciji usvojenog NPAD-a i drugih strateških dokumenata koji se odnose na djecu, najveći problem je nedovoljno razumijevanje njihove suštine od strane državne administracije, kao i nedovoljna usklađenost sa realnim finansijskim sredstvima neophodnim za njihovu realizaciju.</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mehanizam koji će omogućiti da donošenje novih strateških dokumenata bude usaglašeno sa ciljevima i prioritetima definisanim NPAD-om;</w:t>
            </w:r>
          </w:p>
          <w:p w:rsidR="007A4CA1" w:rsidRPr="007A4CA1" w:rsidRDefault="007A4CA1" w:rsidP="007A4CA1">
            <w:pPr>
              <w:numPr>
                <w:ilvl w:val="0"/>
                <w:numId w:val="1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Ustanoviti mehanizam redovnog praćenja i izvještavanja o napretku u ostvarivanju NPAD-a koji će sadržati kvalitetnu analizu i smjernice za unapređenje;</w:t>
            </w:r>
          </w:p>
          <w:p w:rsidR="007A4CA1" w:rsidRPr="007A4CA1" w:rsidRDefault="007A4CA1" w:rsidP="007A4CA1">
            <w:pPr>
              <w:numPr>
                <w:ilvl w:val="0"/>
                <w:numId w:val="1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da Izvještaji o napretku budu promovisani kako bi bili dostupni javnosti i generisali se interesi različitih aktera sa ciljem unapređenja ostvarivanja NPAD-a i prava djece u širem smislu;</w:t>
            </w:r>
          </w:p>
          <w:p w:rsidR="007A4CA1" w:rsidRPr="007A4CA1" w:rsidRDefault="007A4CA1" w:rsidP="007A4CA1">
            <w:pPr>
              <w:numPr>
                <w:ilvl w:val="0"/>
                <w:numId w:val="1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Unaprijediti koordinaciju aktivnosti relevantnih subjekata u domenu planiranja i praćenja efekata programskih i strateških ciljeva NPAD.</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6" w:name="_Toc484780041"/>
      <w:r w:rsidRPr="007A4CA1">
        <w:rPr>
          <w:rFonts w:ascii="Arial Narrow" w:eastAsia="Times New Roman" w:hAnsi="Arial Narrow" w:cstheme="majorBidi"/>
          <w:b/>
          <w:sz w:val="28"/>
          <w:szCs w:val="26"/>
        </w:rPr>
        <w:t>1.4. Nezavisni monitoring</w:t>
      </w:r>
      <w:bookmarkEnd w:id="6"/>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 xml:space="preserve">(Preporuka Komiteta, stav 12, 2010, Državni izvjestaj, </w:t>
      </w:r>
      <w:proofErr w:type="gramStart"/>
      <w:r w:rsidRPr="007A4CA1">
        <w:rPr>
          <w:rFonts w:ascii="Arial Narrow" w:eastAsia="Times New Roman" w:hAnsi="Arial Narrow" w:cs="Times New Roman"/>
          <w:b/>
          <w:sz w:val="24"/>
          <w:szCs w:val="24"/>
        </w:rPr>
        <w:t>stavovi  10</w:t>
      </w:r>
      <w:proofErr w:type="gramEnd"/>
      <w:r w:rsidRPr="007A4CA1">
        <w:rPr>
          <w:rFonts w:ascii="Arial Narrow" w:eastAsia="Times New Roman" w:hAnsi="Arial Narrow" w:cs="Times New Roman"/>
          <w:b/>
          <w:sz w:val="24"/>
          <w:szCs w:val="24"/>
        </w:rPr>
        <w:t>-13)</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hAnsi="Arial Narrow"/>
          <w:sz w:val="24"/>
          <w:szCs w:val="24"/>
        </w:rPr>
      </w:pPr>
      <w:r w:rsidRPr="007A4CA1">
        <w:rPr>
          <w:rFonts w:ascii="Arial Narrow" w:eastAsia="Times New Roman" w:hAnsi="Arial Narrow" w:cs="Times New Roman"/>
          <w:sz w:val="24"/>
          <w:szCs w:val="24"/>
        </w:rPr>
        <w:t xml:space="preserve">Zaštitnik ljudskih prava i sloboda Crne Gore je nezavisna i samostalna institucija koja na načelima pravde i pravičnosti, preduzima mjere za zaštitu ljudskih prava i sloboda zajemčenih Ustavom, zakonom, potvrđenim međunarodnim ugovorima o ljudskim pravima i opšte prihvaćenim pravilima međunarodnog prava kad su </w:t>
      </w:r>
      <w:r w:rsidRPr="007A4CA1">
        <w:rPr>
          <w:rFonts w:ascii="Arial Narrow" w:eastAsia="Times New Roman" w:hAnsi="Arial Narrow" w:cs="Times New Roman"/>
          <w:sz w:val="24"/>
          <w:szCs w:val="24"/>
        </w:rPr>
        <w:lastRenderedPageBreak/>
        <w:t xml:space="preserve">povrijeđena aktom, radnjom ili nepostupanjem državnih organa, organa državne uprave, organa lokalne samouprave i lokalne uprave, javnih službi i drugih nosilaca javnih ovlašćenja, kao i sprovođenje mjera za sprječavanje mučenja i drugih oblika nečovječnog ili ponižavajućeg postupanja i kažnjavanja i mjere za zaštitu od diskriminacije. </w:t>
      </w:r>
      <w:r w:rsidRPr="007A4CA1">
        <w:rPr>
          <w:rFonts w:ascii="Arial Narrow" w:hAnsi="Arial Narrow"/>
          <w:sz w:val="24"/>
          <w:szCs w:val="24"/>
        </w:rPr>
        <w:t>Zaštitnik ima četiri zamjenika.</w:t>
      </w:r>
      <w:r w:rsidRPr="007A4CA1">
        <w:rPr>
          <w:rFonts w:ascii="Arial Narrow" w:eastAsia="Times New Roman" w:hAnsi="Arial Narrow" w:cs="Times New Roman"/>
          <w:sz w:val="24"/>
          <w:szCs w:val="24"/>
        </w:rPr>
        <w:t xml:space="preserve"> </w:t>
      </w:r>
      <w:r w:rsidRPr="007A4CA1">
        <w:rPr>
          <w:rFonts w:ascii="Arial Narrow" w:hAnsi="Arial Narrow"/>
          <w:sz w:val="24"/>
          <w:szCs w:val="24"/>
        </w:rPr>
        <w:t xml:space="preserve">Zamjenik obavlja poslove iz nadležnosti Zaštitnika u skladu sa unutrašnjim rasporedom poslova kojim se obezbjeđuje specijalizovanost, a naročito za: zaštitu prava lica lišenih slobode u cilju prevencije mučenja i drugih oblika surovog, nečovječnog ili ponižavajućeg postupanja i kažnjavanja, zaštitu prava pripadnika manjinskih naroda i drugih manjinskih nacionalnih zajednica, </w:t>
      </w:r>
      <w:r w:rsidRPr="007A4CA1">
        <w:rPr>
          <w:rFonts w:ascii="Arial Narrow" w:hAnsi="Arial Narrow"/>
          <w:b/>
          <w:i/>
          <w:sz w:val="24"/>
          <w:szCs w:val="24"/>
        </w:rPr>
        <w:t>zaštitu i promociju prava djeteta</w:t>
      </w:r>
      <w:r w:rsidRPr="007A4CA1">
        <w:rPr>
          <w:rFonts w:ascii="Arial Narrow" w:hAnsi="Arial Narrow"/>
          <w:sz w:val="24"/>
          <w:szCs w:val="24"/>
        </w:rPr>
        <w:t xml:space="preserve">, zaštitu prava lica sa invaliditetom, rodnu ravnopravnost i zaštitu od diskriminacije. </w:t>
      </w:r>
    </w:p>
    <w:p w:rsidR="007A4CA1" w:rsidRPr="007A4CA1" w:rsidRDefault="007A4CA1" w:rsidP="007A4CA1">
      <w:pPr>
        <w:spacing w:after="0" w:line="240" w:lineRule="auto"/>
        <w:jc w:val="both"/>
        <w:rPr>
          <w:rFonts w:ascii="Arial Narrow" w:hAnsi="Arial Narrow"/>
          <w:sz w:val="24"/>
          <w:szCs w:val="24"/>
        </w:rPr>
      </w:pPr>
    </w:p>
    <w:p w:rsidR="007A4CA1" w:rsidRPr="007A4CA1" w:rsidRDefault="007A4CA1" w:rsidP="007A4CA1">
      <w:pPr>
        <w:autoSpaceDE w:val="0"/>
        <w:autoSpaceDN w:val="0"/>
        <w:adjustRightInd w:val="0"/>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Djelatnost obavlja u skladu sa Ustavom Crne Gore i Zakonom o Zaštitniku ljudskih prava i sloboda </w:t>
      </w:r>
      <w:r w:rsidRPr="007A4CA1">
        <w:rPr>
          <w:rFonts w:ascii="Arial Narrow" w:hAnsi="Arial Narrow" w:cs="Calibri"/>
          <w:sz w:val="23"/>
          <w:szCs w:val="23"/>
        </w:rPr>
        <w:t>("Službeni list Crne Gore", br. 42/11, 32/14 i 21/17)</w:t>
      </w:r>
      <w:r w:rsidRPr="007A4CA1">
        <w:rPr>
          <w:rFonts w:ascii="Arial Narrow" w:eastAsia="Times New Roman" w:hAnsi="Arial Narrow" w:cs="Times New Roman"/>
          <w:sz w:val="24"/>
          <w:szCs w:val="24"/>
        </w:rPr>
        <w:t xml:space="preserve">. Shodno Zakonu, Pravilima o radu Zaštitnika ljudskih prava i sloboda Crne Gore iz 2014. godine </w:t>
      </w:r>
      <w:r w:rsidRPr="007A4CA1">
        <w:rPr>
          <w:rFonts w:ascii="Arial Narrow" w:hAnsi="Arial Narrow" w:cs="Calibri"/>
          <w:sz w:val="23"/>
          <w:szCs w:val="23"/>
        </w:rPr>
        <w:t>("Službeni list Crne Gore" br. 32/14)</w:t>
      </w:r>
      <w:r w:rsidRPr="007A4CA1">
        <w:rPr>
          <w:rFonts w:ascii="Arial Narrow" w:eastAsia="Times New Roman" w:hAnsi="Arial Narrow" w:cs="Times New Roman"/>
          <w:sz w:val="24"/>
          <w:szCs w:val="24"/>
        </w:rPr>
        <w:t xml:space="preserve"> i Pravilniku o unutrašnjoj organizaciji i sistematizaciji Službe Zaštitnika ljudskih prava i sloboda Crne Gore, definisana su četiri sektora specijalizovanosti Zaštitnika</w:t>
      </w:r>
      <w:r w:rsidRPr="007A4CA1">
        <w:rPr>
          <w:rFonts w:ascii="Arial Narrow" w:eastAsia="Times New Roman" w:hAnsi="Arial Narrow" w:cs="Times New Roman"/>
          <w:color w:val="FF0000"/>
          <w:sz w:val="24"/>
          <w:szCs w:val="24"/>
        </w:rPr>
        <w:t xml:space="preserve"> </w:t>
      </w:r>
      <w:r w:rsidRPr="007A4CA1">
        <w:rPr>
          <w:rFonts w:ascii="Arial Narrow" w:eastAsia="Times New Roman" w:hAnsi="Arial Narrow" w:cs="Times New Roman"/>
          <w:sz w:val="24"/>
          <w:szCs w:val="24"/>
        </w:rPr>
        <w:t xml:space="preserve">od kojih je jedan – </w:t>
      </w:r>
      <w:r w:rsidRPr="007A4CA1">
        <w:rPr>
          <w:rFonts w:ascii="Arial Narrow" w:eastAsia="Times New Roman" w:hAnsi="Arial Narrow" w:cs="Times New Roman"/>
          <w:b/>
          <w:i/>
          <w:sz w:val="24"/>
          <w:szCs w:val="24"/>
        </w:rPr>
        <w:t>oblast dječjih prava, prava mladih i socijalnog staranja</w:t>
      </w:r>
      <w:r w:rsidRPr="007A4CA1">
        <w:rPr>
          <w:rFonts w:ascii="Arial Narrow" w:eastAsia="Times New Roman" w:hAnsi="Arial Narrow" w:cs="Times New Roman"/>
          <w:sz w:val="24"/>
          <w:szCs w:val="24"/>
        </w:rPr>
        <w:t>. Ovim sektorom rukovodi zamjenik Zaštitnika kojeg imenuje Skupština Crne Gore, na predlog Zaštitnika, na period od šest godina. Poslove iz oblasti dječjih prava, prava mladih i socijalnog staranja, osim zamjenice Zaštitnika, obavljaju još 4 izvršioca.</w:t>
      </w:r>
    </w:p>
    <w:p w:rsidR="007A4CA1" w:rsidRPr="007A4CA1" w:rsidRDefault="007A4CA1" w:rsidP="007A4CA1">
      <w:pPr>
        <w:autoSpaceDE w:val="0"/>
        <w:autoSpaceDN w:val="0"/>
        <w:adjustRightInd w:val="0"/>
        <w:spacing w:after="0" w:line="240" w:lineRule="auto"/>
        <w:jc w:val="both"/>
        <w:rPr>
          <w:rFonts w:ascii="Arial Narrow" w:hAnsi="Arial Narrow" w:cs="Calibri"/>
          <w:color w:val="FF0000"/>
          <w:sz w:val="23"/>
          <w:szCs w:val="23"/>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Institucija donosi godišnji plan rada za oblast dječjih prava, prava mladih i socijalnog staranja koji sadrži: zaštitu individualnih prava i interesa djece, sveobuhvatnu zaštitu prava i interesa djece, uvid u način ostvarivanja brige o djeci smještenoj izvan porodice, promociju prava djece, među institucionalnu i međunarodnu saradnju. O stanju prava djece i konkretnim rezultatima izvještava se u okviru godišnjeg Izvještaja o radu Zaštitnika ljudskih prava i sloboda Crne Gore (posebno poglavlje), koji se razmatra u Skupštini Crne Gore. Sačinjeni su i posebni izvještaji</w:t>
      </w:r>
      <w:r w:rsidRPr="007A4CA1">
        <w:rPr>
          <w:rFonts w:ascii="Arial Narrow" w:eastAsia="Times New Roman" w:hAnsi="Arial Narrow" w:cs="Times New Roman"/>
          <w:b/>
          <w:i/>
          <w:sz w:val="24"/>
          <w:szCs w:val="24"/>
        </w:rPr>
        <w:t>: Posebni izvještaj o dječjem prosjačenju “Naučimo ih nešto drugo” (2011);</w:t>
      </w:r>
      <w:r w:rsidRPr="007A4CA1">
        <w:rPr>
          <w:rFonts w:ascii="Arial Narrow" w:eastAsia="Times New Roman" w:hAnsi="Arial Narrow" w:cs="Times New Roman"/>
          <w:color w:val="C00000"/>
          <w:sz w:val="24"/>
          <w:szCs w:val="24"/>
        </w:rPr>
        <w:t xml:space="preserve"> </w:t>
      </w:r>
      <w:r w:rsidRPr="007A4CA1">
        <w:rPr>
          <w:rFonts w:ascii="Arial Narrow" w:eastAsia="Times New Roman" w:hAnsi="Arial Narrow" w:cs="Times New Roman"/>
          <w:b/>
          <w:i/>
          <w:sz w:val="24"/>
          <w:szCs w:val="24"/>
        </w:rPr>
        <w:t>Izvještaj o</w:t>
      </w:r>
      <w:r w:rsidRPr="007A4CA1">
        <w:rPr>
          <w:rFonts w:ascii="Arial Narrow" w:eastAsia="Times New Roman" w:hAnsi="Arial Narrow" w:cs="Times New Roman"/>
          <w:sz w:val="24"/>
          <w:szCs w:val="24"/>
        </w:rPr>
        <w:t xml:space="preserve"> </w:t>
      </w:r>
      <w:r w:rsidRPr="007A4CA1">
        <w:rPr>
          <w:rFonts w:ascii="Arial Narrow" w:eastAsia="Times New Roman" w:hAnsi="Arial Narrow" w:cs="Times New Roman"/>
          <w:b/>
          <w:i/>
          <w:sz w:val="24"/>
          <w:szCs w:val="24"/>
        </w:rPr>
        <w:t>seksualnom iskorišćavanju djece (2011)</w:t>
      </w:r>
      <w:r w:rsidRPr="007A4CA1">
        <w:rPr>
          <w:rFonts w:ascii="Arial Narrow" w:eastAsia="Times New Roman" w:hAnsi="Arial Narrow" w:cs="Times New Roman"/>
          <w:sz w:val="24"/>
          <w:szCs w:val="24"/>
        </w:rPr>
        <w:t xml:space="preserve">; </w:t>
      </w:r>
      <w:r w:rsidRPr="007A4CA1">
        <w:rPr>
          <w:rFonts w:ascii="Arial Narrow" w:eastAsia="Times New Roman" w:hAnsi="Arial Narrow" w:cs="Times New Roman"/>
          <w:b/>
          <w:i/>
          <w:sz w:val="24"/>
          <w:szCs w:val="24"/>
        </w:rPr>
        <w:t>Poseban izvještaj o stanju ljudskih prava mentalno oboljelih lica smještenih u ustanovama (2011);</w:t>
      </w:r>
      <w:r w:rsidRPr="007A4CA1">
        <w:rPr>
          <w:rFonts w:ascii="Arial Narrow" w:eastAsia="Times New Roman" w:hAnsi="Arial Narrow" w:cs="Times New Roman"/>
          <w:sz w:val="24"/>
          <w:szCs w:val="24"/>
        </w:rPr>
        <w:t xml:space="preserve"> </w:t>
      </w:r>
      <w:r w:rsidRPr="007A4CA1">
        <w:rPr>
          <w:rFonts w:ascii="Arial Narrow" w:eastAsia="Times New Roman" w:hAnsi="Arial Narrow" w:cs="Times New Roman"/>
          <w:b/>
          <w:i/>
          <w:sz w:val="24"/>
          <w:szCs w:val="24"/>
        </w:rPr>
        <w:t xml:space="preserve">Zloupotreba djece putem interneta (2013); Izvještaj o rezultatima sprovedenih istraživanja o zaštiti djece od eksploatacije (2013); Postupanje policije sa djecom (2014); </w:t>
      </w:r>
      <w:r w:rsidRPr="007A4CA1">
        <w:rPr>
          <w:rFonts w:ascii="Arial Narrow" w:eastAsia="Times New Roman" w:hAnsi="Arial Narrow" w:cs="Times New Roman"/>
          <w:sz w:val="24"/>
          <w:szCs w:val="24"/>
        </w:rPr>
        <w:t>koji su razmatrani u Skupštini CG.</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hAnsi="Arial Narrow" w:cs="Arial"/>
          <w:sz w:val="24"/>
          <w:szCs w:val="24"/>
        </w:rPr>
      </w:pPr>
      <w:r w:rsidRPr="007A4CA1">
        <w:rPr>
          <w:rFonts w:ascii="Arial Narrow" w:hAnsi="Arial Narrow" w:cs="Arial"/>
          <w:sz w:val="24"/>
          <w:szCs w:val="24"/>
        </w:rPr>
        <w:t>U cilju ostvarivanja participacije djece u radu Zaštitnika formirana je Mreža Zlatnih savjetnika 2014.godine. Na osnovu javnog poziva odabrana su djeca - Zlatni savjetnici. Cilj Mreže zlatnih savjetnika je da okupi zainteresovanu djecu Crne Gore, koja će učestvovati u radu Zaštitnika, tako što će biti u direktnoj komunikaciji sa predstavnicima Institucije i svojim idejama, predlozima, sugestijama i stavom učestvovati u zaštiti i unapređenju dječijih prava. Mrežu čini 12 članova uzrasta od 11 do 17 iz različitih gradova. Mreža Zlatnih savjetnika tokom godine aktivna je u radu i postupanju Zaštitnika kroz redovne sastanke, intenzivan rad na internom elektronskom forumu i povremene kreativno-edukativne radionice. Teme kojima se do sada Zaštitnik sa Mrežom zlatnih savjetnika bavio odnosile su se na: zdravstvenu zaštitu u Crnoj Gori, aktivizam djece i mladih, dječju participacije i inkluzivno obrazovanje, nasilje nad djecom i među djecom i dr.</w:t>
      </w:r>
    </w:p>
    <w:p w:rsidR="007A4CA1" w:rsidRPr="007A4CA1" w:rsidRDefault="007A4CA1" w:rsidP="007A4CA1">
      <w:pPr>
        <w:spacing w:after="0" w:line="240" w:lineRule="auto"/>
        <w:jc w:val="both"/>
        <w:rPr>
          <w:rFonts w:ascii="Arial Narrow" w:hAnsi="Arial Narrow" w:cs="Arial"/>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Radi neposredne komunikacije sa djecom formirana je Facebook grupa </w:t>
      </w:r>
      <w:r w:rsidRPr="007A4CA1">
        <w:rPr>
          <w:rFonts w:ascii="Arial Narrow" w:eastAsia="Times New Roman" w:hAnsi="Arial Narrow" w:cs="Times New Roman"/>
          <w:b/>
          <w:sz w:val="24"/>
          <w:szCs w:val="24"/>
        </w:rPr>
        <w:t xml:space="preserve">Djeco pišite ombudsmanu </w:t>
      </w:r>
      <w:r w:rsidRPr="007A4CA1">
        <w:rPr>
          <w:rFonts w:ascii="Arial Narrow" w:eastAsia="Times New Roman" w:hAnsi="Arial Narrow" w:cs="Times New Roman"/>
          <w:sz w:val="24"/>
          <w:szCs w:val="24"/>
        </w:rPr>
        <w:t xml:space="preserve">i otvoren </w:t>
      </w:r>
      <w:r w:rsidRPr="007A4CA1">
        <w:rPr>
          <w:rFonts w:ascii="Arial Narrow" w:eastAsia="Times New Roman" w:hAnsi="Arial Narrow" w:cs="Times New Roman"/>
          <w:b/>
          <w:sz w:val="24"/>
          <w:szCs w:val="24"/>
        </w:rPr>
        <w:t>Blog</w:t>
      </w:r>
      <w:r w:rsidRPr="007A4CA1">
        <w:rPr>
          <w:rFonts w:ascii="Arial Narrow" w:eastAsia="Times New Roman" w:hAnsi="Arial Narrow" w:cs="Times New Roman"/>
          <w:sz w:val="24"/>
          <w:szCs w:val="24"/>
        </w:rPr>
        <w:t xml:space="preserve">. Na sajtu institucuje otvoreno je i </w:t>
      </w:r>
      <w:r w:rsidRPr="007A4CA1">
        <w:rPr>
          <w:rFonts w:ascii="Arial Narrow" w:eastAsia="Times New Roman" w:hAnsi="Arial Narrow" w:cs="Times New Roman"/>
          <w:b/>
          <w:i/>
          <w:sz w:val="24"/>
          <w:szCs w:val="24"/>
        </w:rPr>
        <w:t>Hrabro sanduče</w:t>
      </w:r>
      <w:r w:rsidRPr="007A4CA1">
        <w:rPr>
          <w:rFonts w:ascii="Arial Narrow" w:eastAsia="Times New Roman" w:hAnsi="Arial Narrow" w:cs="Times New Roman"/>
          <w:sz w:val="24"/>
          <w:szCs w:val="24"/>
        </w:rPr>
        <w:t xml:space="preserve"> putem kojeg se mogu obratiti djeca i anonimno.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lang w:val="sr-Cyrl-CS" w:bidi="th-TH"/>
        </w:rPr>
      </w:pPr>
      <w:r w:rsidRPr="007A4CA1">
        <w:rPr>
          <w:rFonts w:ascii="Arial Narrow" w:eastAsia="Times New Roman" w:hAnsi="Arial Narrow" w:cs="Times New Roman"/>
          <w:sz w:val="24"/>
          <w:szCs w:val="24"/>
          <w:lang w:val="sr-Cyrl-CS" w:bidi="th-TH"/>
        </w:rPr>
        <w:t>U 2016.godini postupak Akreditacije Zaštitnika kod Međunarodnog koordinacionog komiteta nacionalnih institucija (GANHRI) za zaštitu ljudskih prava okončan je dodjel</w:t>
      </w:r>
      <w:r w:rsidRPr="007A4CA1">
        <w:rPr>
          <w:rFonts w:ascii="Arial Narrow" w:eastAsia="Times New Roman" w:hAnsi="Arial Narrow" w:cs="Times New Roman"/>
          <w:sz w:val="24"/>
          <w:szCs w:val="24"/>
          <w:lang w:val="sr-Latn-ME" w:bidi="th-TH"/>
        </w:rPr>
        <w:t>j</w:t>
      </w:r>
      <w:r w:rsidRPr="007A4CA1">
        <w:rPr>
          <w:rFonts w:ascii="Arial Narrow" w:eastAsia="Times New Roman" w:hAnsi="Arial Narrow" w:cs="Times New Roman"/>
          <w:sz w:val="24"/>
          <w:szCs w:val="24"/>
          <w:lang w:val="sr-Cyrl-CS" w:bidi="th-TH"/>
        </w:rPr>
        <w:t xml:space="preserve">ivanjem ocjene - statusa "B". </w:t>
      </w:r>
    </w:p>
    <w:p w:rsidR="007A4CA1" w:rsidRPr="007A4CA1" w:rsidRDefault="007A4CA1" w:rsidP="007A4CA1">
      <w:pPr>
        <w:spacing w:after="0" w:line="240" w:lineRule="auto"/>
        <w:jc w:val="both"/>
        <w:rPr>
          <w:rFonts w:ascii="Arial Narrow" w:eastAsia="Times New Roman" w:hAnsi="Arial Narrow" w:cs="Times New Roman"/>
          <w:b/>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Omogućiti povećanje broja kadrova kako bi Zaštitnik adekvatno mogao odgovoriti na izazove u ostvarivanju prava djeteta;</w:t>
            </w:r>
          </w:p>
          <w:p w:rsidR="007A4CA1" w:rsidRPr="007A4CA1" w:rsidRDefault="007A4CA1" w:rsidP="007A4CA1">
            <w:pPr>
              <w:numPr>
                <w:ilvl w:val="0"/>
                <w:numId w:val="1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lastRenderedPageBreak/>
              <w:t>Povećati budžet Zaštitnika - obezbijediti neophodna tehnička i finansijska sredstva kako bi se realizovale mandatom utvrđene i planom predviđene aktivnosti, sa posebnim naglaskom na aktivnosti koje podrazumijevaju proces konsultacija i participacije djece u radu Zaštitnika;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7" w:name="_Toc484780042"/>
      <w:r w:rsidRPr="007A4CA1">
        <w:rPr>
          <w:rFonts w:ascii="Arial Narrow" w:eastAsia="Times New Roman" w:hAnsi="Arial Narrow" w:cstheme="majorBidi"/>
          <w:b/>
          <w:sz w:val="28"/>
          <w:szCs w:val="26"/>
        </w:rPr>
        <w:t>1.5. Opredjeljivanje sredstava</w:t>
      </w:r>
      <w:bookmarkEnd w:id="7"/>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14, 2010, Državni izvjestaj, stav 14)</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Kako još uvijek nije obezbijeđena jednoobraznost u načinu iskazivanja podataka o posebnim izdvajanjima za djecu na nacionalnom i lokalnom nivou, to ne postoje precizni podaci o sredstvima koja se izdvajaju za sprovođenje prava djeteta.</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Usaglasiti ciljeve i mjere predviđene strateškim dokumentima u raznim oblastima (zdravstvo, socijalna zaštita, obrazovanje idr.) sa godišnjim planovima Vlade, lokalnih samouprava i drugih direktnih i indirektnih budžetskih korisnika, a što bi se direktno odrazilo i na planiranje budžeta;</w:t>
            </w:r>
          </w:p>
          <w:p w:rsidR="007A4CA1" w:rsidRPr="007A4CA1" w:rsidRDefault="007A4CA1" w:rsidP="007A4CA1">
            <w:pPr>
              <w:numPr>
                <w:ilvl w:val="0"/>
                <w:numId w:val="1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Prilikom planiranja budžeta na svim nivoima osigurati adekvatna sredstva za ostvarivanje prava djece i aktivnosti planiranih strateškim dokumentima;</w:t>
            </w:r>
          </w:p>
          <w:p w:rsidR="007A4CA1" w:rsidRPr="007A4CA1" w:rsidRDefault="007A4CA1" w:rsidP="007A4CA1">
            <w:pPr>
              <w:numPr>
                <w:ilvl w:val="0"/>
                <w:numId w:val="1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Prilikom pripreme i usvajanja budžeta na svim nivoima obezbijediti dosljednu primjenu Generalnog komentara br.19 o izdvajanju sredstava iz javnog budžeta za realizaciju prava djeteta Komiteta za prava djeteta;</w:t>
            </w:r>
          </w:p>
          <w:p w:rsidR="007A4CA1" w:rsidRPr="007A4CA1" w:rsidRDefault="007A4CA1" w:rsidP="007A4CA1">
            <w:pPr>
              <w:numPr>
                <w:ilvl w:val="0"/>
                <w:numId w:val="1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Prilikom obezbjeđenja finansijskih sredstava za zarade zaposlenih u javnom sektoru osigurati neophodan broj izvršilaca u javnim ustanovama koje se bave pružanjem usluga za djecu.</w:t>
            </w:r>
          </w:p>
          <w:p w:rsidR="007A4CA1" w:rsidRPr="007A4CA1" w:rsidRDefault="007A4CA1" w:rsidP="007A4CA1">
            <w:pPr>
              <w:ind w:left="360"/>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8" w:name="_Toc484780043"/>
      <w:r w:rsidRPr="007A4CA1">
        <w:rPr>
          <w:rFonts w:ascii="Arial Narrow" w:eastAsia="Times New Roman" w:hAnsi="Arial Narrow" w:cstheme="majorBidi"/>
          <w:b/>
          <w:sz w:val="28"/>
          <w:szCs w:val="26"/>
        </w:rPr>
        <w:t>1.6. Prikupljanje podataka</w:t>
      </w:r>
      <w:bookmarkEnd w:id="8"/>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16, 2010, Državni izvjestaj, stavovi 15-20)</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Nadležni državni organi su radili na uspostavljanju pojedinačnih metodologija sistema prikupljanja i baza podataka koji se odnose na ostvarivanje specifičnih prava djece. Još uvijek ne postoji jedinstveni, usaglašeni sistem za sveobuhvatno prikupljanje podataka koji bi omogućio njihovu analizu i procjenu uticaj različitih politika i programa za sve oblasti koje pokriva Konvencija i Protokoli.</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Zavod za statistiku Crne Gore – MONSTAT, kao nadležno tijelo za proizvodnju zvanične statistike, ne objavljuje podatke o broju djece do 18 godina, već samo po polu i petogodišnjim starosnim grupama (od 0 - 4 g., od 5 - 9 g., od 10 - 14 g., 15 - 19 g.)</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Unaprijediti sistem prikupljanja podataka kako bi se obezbijedio cjelovito i koordinisano prikupljanje podataka o djeci sa posebnim osvrtom na osjetljive grupe djece;</w:t>
            </w:r>
          </w:p>
          <w:p w:rsidR="007A4CA1" w:rsidRPr="007A4CA1" w:rsidRDefault="007A4CA1" w:rsidP="007A4CA1">
            <w:pPr>
              <w:numPr>
                <w:ilvl w:val="0"/>
                <w:numId w:val="1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Potrebno je da MONSTAT prilikom publikovanja procijenjenog broja stanovništva objavljuje i procijenjeni broj djece do 18. godine u Crnoj Gori.</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9" w:name="_Toc484780044"/>
      <w:r w:rsidRPr="007A4CA1">
        <w:rPr>
          <w:rFonts w:ascii="Arial Narrow" w:eastAsia="Times New Roman" w:hAnsi="Arial Narrow" w:cstheme="majorBidi"/>
          <w:b/>
          <w:sz w:val="28"/>
          <w:szCs w:val="26"/>
        </w:rPr>
        <w:lastRenderedPageBreak/>
        <w:t>1.7. Informisanje i podizanje svijesti</w:t>
      </w:r>
      <w:bookmarkEnd w:id="9"/>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(Preporuke Komiteta, stav 18, 2010, Državni izvjestaj, stavovi 21-24)</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Sprovođen je niz mjera i aktivnosti u cilju informisanja i podizanja svijesti javnosti o pravima djeteta od strane državnih institucija, NVO sektora i međunarodnih organizacija. Ne postoji jasna koordinacija između navedenih aktera kako bi se osigurao veći obuhvat i kontinuitet u promociji prava djece. Uočava se da je neophodno planski definisati i kontinuirano sprovoditi planirane aktivnosti o pravima djece usmjerene prema djeci, stručnoj i opštoj javnosti, uz poseban angažman medija.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cilju informisanja i podizanja svijesti javnosti Zaštitnik sprovodi redovne aktivnosti koje se odnose na promociju prava djece. Organizovane su tematske konferencije, okrugli stolovi, panel diskusije, edukativno promotivne radionice. Brojnim medijskim nastupima i saopštenjima za javnost nastojalo se ukazati na kršenje prava djece, a davane su i smjernice za unapređenje ostvarivanja prava djece.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Posebna pažnja je posvećena informisanju i podizanju svijesti djece o njihovim pravima te je u tom cilju: na sajtu institucije istaknut poziv </w:t>
      </w:r>
      <w:r w:rsidRPr="007A4CA1">
        <w:rPr>
          <w:rFonts w:ascii="Arial Narrow" w:eastAsia="Times New Roman" w:hAnsi="Arial Narrow" w:cs="Times New Roman"/>
          <w:b/>
          <w:i/>
          <w:sz w:val="24"/>
          <w:szCs w:val="24"/>
        </w:rPr>
        <w:t xml:space="preserve">DJECO, ako neko krši vasa prava ili prava vaših drugara, ako znate za nepravdu ili nasilje nad djecom PIŠITE OMBUDSMANU </w:t>
      </w:r>
      <w:r w:rsidRPr="007A4CA1">
        <w:rPr>
          <w:rFonts w:ascii="Arial Narrow" w:eastAsia="Times New Roman" w:hAnsi="Arial Narrow" w:cs="Times New Roman"/>
          <w:sz w:val="24"/>
          <w:szCs w:val="24"/>
        </w:rPr>
        <w:t xml:space="preserve">(koji je urađen i distribuiran djeci u saradnji sa NVO sektorom i međunarodnim donatorima), urađen je i </w:t>
      </w:r>
      <w:r w:rsidRPr="007A4CA1">
        <w:rPr>
          <w:rFonts w:ascii="Arial Narrow" w:eastAsia="Times New Roman" w:hAnsi="Arial Narrow" w:cs="Times New Roman"/>
          <w:b/>
          <w:i/>
          <w:sz w:val="24"/>
          <w:szCs w:val="24"/>
        </w:rPr>
        <w:t>strip Nevolje sa Rokijem</w:t>
      </w:r>
      <w:r w:rsidRPr="007A4CA1">
        <w:rPr>
          <w:rFonts w:ascii="Arial Narrow" w:eastAsia="Times New Roman" w:hAnsi="Arial Narrow" w:cs="Times New Roman"/>
          <w:sz w:val="24"/>
          <w:szCs w:val="24"/>
        </w:rPr>
        <w:t xml:space="preserve"> o pravima djeteta, koji se koristi kao pomoćno nastavno sredstvo za učenike osnovnih škola. Redovno se realizuju edukativno promotivne radionice u obrazovnim ustanovama, ustanovama u kojima borave djeca.</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Kreirati poseban plan aktivnosti sa ciljem realizacije specifičnog cilja 1.5 NPAD: unaprijediti svijest djece, roditelja, profesionalne javnosti i šire zajednice o pravima djeteta;</w:t>
            </w:r>
          </w:p>
          <w:p w:rsidR="007A4CA1" w:rsidRPr="007A4CA1" w:rsidRDefault="007A4CA1" w:rsidP="007A4CA1">
            <w:pPr>
              <w:numPr>
                <w:ilvl w:val="0"/>
                <w:numId w:val="1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mehanizam koordinacije svih aktera koji rade na promociji prava djeteta kako bi se obezbijedio veći obuhvat i kontinuitet u promociji prava djece;</w:t>
            </w:r>
          </w:p>
          <w:p w:rsidR="007A4CA1" w:rsidRPr="007A4CA1" w:rsidRDefault="007A4CA1" w:rsidP="007A4CA1">
            <w:pPr>
              <w:numPr>
                <w:ilvl w:val="0"/>
                <w:numId w:val="1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Unaprijediti program obuke nastavnog osoblja za promovisanje prava djece kroz nastavne i vannastavne aktivnosti.</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10" w:name="_Toc484780045"/>
      <w:r w:rsidRPr="007A4CA1">
        <w:rPr>
          <w:rFonts w:ascii="Arial Narrow" w:eastAsia="Times New Roman" w:hAnsi="Arial Narrow" w:cstheme="majorBidi"/>
          <w:b/>
          <w:sz w:val="28"/>
          <w:szCs w:val="26"/>
        </w:rPr>
        <w:t>1.8. Obuka</w:t>
      </w:r>
      <w:bookmarkEnd w:id="10"/>
      <w:r w:rsidRPr="007A4CA1">
        <w:rPr>
          <w:rFonts w:ascii="Arial Narrow" w:eastAsia="Times New Roman" w:hAnsi="Arial Narrow" w:cstheme="majorBidi"/>
          <w:b/>
          <w:sz w:val="28"/>
          <w:szCs w:val="26"/>
        </w:rPr>
        <w:t xml:space="preserve"> </w:t>
      </w:r>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(Preporuke Komiteta, stav 20, 2010, Državni izvjestaj, stavovi 25-30)</w:t>
      </w:r>
    </w:p>
    <w:p w:rsidR="007A4CA1" w:rsidRPr="007A4CA1" w:rsidRDefault="007A4CA1" w:rsidP="007A4CA1">
      <w:pPr>
        <w:spacing w:after="0" w:line="240" w:lineRule="auto"/>
        <w:jc w:val="both"/>
        <w:rPr>
          <w:rFonts w:ascii="Arial Narrow" w:eastAsia="Times New Roman" w:hAnsi="Arial Narrow" w:cs="Times New Roman"/>
          <w:sz w:val="24"/>
          <w:szCs w:val="24"/>
          <w:lang w:val="sr-Latn-ME"/>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I pored napora koje ulažu različiti akteri u cilju realizacije obuka profesionalaca i dalje postoji potreba za realizaciju opštih obuka iz oblasti prava djeteta kao i specijalizovanih obuka za pojedine profesije koje rade za i sa djecom. </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sistem akreditacije programa obuke za profesionalce iz oblasti prava djeteta koji uključuje i licencu za obavljanje poslova za i sa djecom;</w:t>
            </w:r>
          </w:p>
          <w:p w:rsidR="007A4CA1" w:rsidRPr="007A4CA1" w:rsidRDefault="007A4CA1" w:rsidP="007A4CA1">
            <w:pPr>
              <w:numPr>
                <w:ilvl w:val="0"/>
                <w:numId w:val="1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Kontinuirano sprovoditi edukacije profesionalaca koji rade za i sa djecom.</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p>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11" w:name="_Toc484780046"/>
      <w:r w:rsidRPr="007A4CA1">
        <w:rPr>
          <w:rFonts w:ascii="Arial Narrow" w:eastAsia="Times New Roman" w:hAnsi="Arial Narrow" w:cstheme="majorBidi"/>
          <w:b/>
          <w:sz w:val="28"/>
          <w:szCs w:val="26"/>
        </w:rPr>
        <w:lastRenderedPageBreak/>
        <w:t>1.9. Saradnja sa civilnim društvom</w:t>
      </w:r>
      <w:bookmarkEnd w:id="11"/>
      <w:r w:rsidRPr="007A4CA1">
        <w:rPr>
          <w:rFonts w:ascii="Arial Narrow" w:eastAsia="Times New Roman" w:hAnsi="Arial Narrow" w:cstheme="majorBidi"/>
          <w:b/>
          <w:sz w:val="28"/>
          <w:szCs w:val="26"/>
        </w:rPr>
        <w:t xml:space="preserve"> </w:t>
      </w:r>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22, 2010, Državni izvjestaj, stav 31)</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Primijetan je napredak u saradnji državnih institucija i NVO sektora u dijelu koji se odnosi na participaciju u izradi zakona i staretških dokumenata. Iako je način finansiranja projekata koje sprovode NVO zakonom uređen, praksa ukazuje na činjenicu da sadašnjim stanjem stvari nijesu zadovoljni predstavnici NVO sektora.</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0"/>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Potrebno je dalje unapređivati saradnju državnih organa sa NVO sektorom zasnovanim na principima partnerstva;</w:t>
            </w:r>
          </w:p>
          <w:p w:rsidR="007A4CA1" w:rsidRPr="007A4CA1" w:rsidRDefault="007A4CA1" w:rsidP="007A4CA1">
            <w:pPr>
              <w:numPr>
                <w:ilvl w:val="0"/>
                <w:numId w:val="20"/>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Uraditi analizu dosadašnjeg načina finansiranja projekata i na osnovu dobijenih pokazatelja, u konsultaciji sa predstavnicima NVO sektora revidirati sadašnji model finansiranja;</w:t>
            </w:r>
          </w:p>
          <w:p w:rsidR="007A4CA1" w:rsidRPr="007A4CA1" w:rsidRDefault="007A4CA1" w:rsidP="007A4CA1">
            <w:pPr>
              <w:numPr>
                <w:ilvl w:val="0"/>
                <w:numId w:val="20"/>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kvalitetan model praćenja realizacije projekata i postignutih rezultata koji se finansiraju iz javnih prihoda.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ind w:left="720"/>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ind w:left="720"/>
        <w:contextualSpacing/>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12" w:name="_Toc484780047"/>
      <w:r w:rsidRPr="007A4CA1">
        <w:rPr>
          <w:rFonts w:ascii="Arial Narrow" w:eastAsia="Times New Roman" w:hAnsi="Arial Narrow" w:cstheme="majorBidi"/>
          <w:b/>
          <w:sz w:val="32"/>
          <w:szCs w:val="32"/>
        </w:rPr>
        <w:t>II DEFINICIJA DJETETA</w:t>
      </w:r>
      <w:bookmarkEnd w:id="12"/>
    </w:p>
    <w:p w:rsidR="007A4CA1" w:rsidRPr="007A4CA1" w:rsidRDefault="007A4CA1" w:rsidP="007A4CA1">
      <w:pPr>
        <w:spacing w:after="0" w:line="240" w:lineRule="auto"/>
        <w:jc w:val="center"/>
        <w:rPr>
          <w:rFonts w:ascii="Arial Narrow" w:hAnsi="Arial Narrow"/>
          <w:b/>
          <w:sz w:val="24"/>
        </w:rPr>
      </w:pPr>
      <w:r w:rsidRPr="007A4CA1">
        <w:rPr>
          <w:rFonts w:ascii="Arial Narrow" w:hAnsi="Arial Narrow"/>
          <w:b/>
          <w:sz w:val="24"/>
        </w:rPr>
        <w:t>(Član 1. Konvencije)</w:t>
      </w:r>
    </w:p>
    <w:p w:rsidR="007A4CA1" w:rsidRPr="007A4CA1" w:rsidRDefault="007A4CA1" w:rsidP="007A4CA1">
      <w:pPr>
        <w:spacing w:after="0" w:line="240" w:lineRule="auto"/>
        <w:jc w:val="both"/>
        <w:rPr>
          <w:rFonts w:ascii="Arial Narrow" w:eastAsia="Times New Roman" w:hAnsi="Arial Narrow" w:cs="Times New Roman"/>
          <w:sz w:val="24"/>
          <w:szCs w:val="24"/>
          <w:highlight w:val="lightGray"/>
        </w:rPr>
      </w:pPr>
    </w:p>
    <w:p w:rsidR="007A4CA1" w:rsidRPr="007A4CA1" w:rsidRDefault="007A4CA1" w:rsidP="007A4CA1">
      <w:pPr>
        <w:spacing w:after="0" w:line="240" w:lineRule="auto"/>
        <w:jc w:val="both"/>
        <w:rPr>
          <w:rFonts w:ascii="Arial Narrow" w:eastAsia="Times New Roman" w:hAnsi="Arial Narrow" w:cs="Times New Roman"/>
          <w:sz w:val="24"/>
          <w:szCs w:val="24"/>
          <w:highlight w:val="lightGray"/>
        </w:rPr>
      </w:pPr>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24, 2010, Državni izvjestaj, stav 32)</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autoSpaceDE w:val="0"/>
        <w:autoSpaceDN w:val="0"/>
        <w:adjustRightInd w:val="0"/>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U okviru pravnog sistema Crne Gore samo Zakon o socijalnoj i dječjoj zaštiti </w:t>
      </w:r>
      <w:r w:rsidRPr="007A4CA1">
        <w:rPr>
          <w:rFonts w:ascii="Arial Narrow" w:hAnsi="Arial Narrow" w:cs="Calibri"/>
          <w:sz w:val="23"/>
          <w:szCs w:val="23"/>
        </w:rPr>
        <w:t>("Službeni list Crne Gore", br. 1/17)</w:t>
      </w:r>
      <w:r w:rsidRPr="007A4CA1">
        <w:rPr>
          <w:rFonts w:ascii="Arial Narrow" w:eastAsia="Times New Roman" w:hAnsi="Arial Narrow" w:cs="Times New Roman"/>
          <w:sz w:val="24"/>
          <w:szCs w:val="24"/>
        </w:rPr>
        <w:t xml:space="preserve"> i </w:t>
      </w:r>
      <w:r w:rsidRPr="007A4CA1">
        <w:rPr>
          <w:rFonts w:ascii="Arial Narrow" w:hAnsi="Arial Narrow" w:cs="Calibri"/>
          <w:sz w:val="23"/>
          <w:szCs w:val="23"/>
        </w:rPr>
        <w:t>Zakon o izmjenama i dopunama Porodičnog zakona ("Službeni list Crne Gore", br. 053/</w:t>
      </w:r>
      <w:r w:rsidRPr="007A4CA1">
        <w:rPr>
          <w:rFonts w:ascii="Arial" w:hAnsi="Arial" w:cs="Arial"/>
          <w:sz w:val="23"/>
          <w:szCs w:val="23"/>
        </w:rPr>
        <w:t>​</w:t>
      </w:r>
      <w:r w:rsidRPr="007A4CA1">
        <w:rPr>
          <w:rFonts w:ascii="Arial Narrow" w:hAnsi="Arial Narrow" w:cs="Calibri"/>
          <w:sz w:val="23"/>
          <w:szCs w:val="23"/>
        </w:rPr>
        <w:t>16),</w:t>
      </w:r>
      <w:r w:rsidRPr="007A4CA1">
        <w:rPr>
          <w:rFonts w:ascii="Arial Narrow" w:eastAsia="Times New Roman" w:hAnsi="Arial Narrow" w:cs="Times New Roman"/>
          <w:sz w:val="24"/>
          <w:szCs w:val="24"/>
        </w:rPr>
        <w:t xml:space="preserve"> eksplicitno definišu pojam djeteta -  dijete, lice do navršene 18. godine života. U Krivičnom zakoniku</w:t>
      </w:r>
      <w:r w:rsidRPr="007A4CA1">
        <w:rPr>
          <w:rFonts w:ascii="Arial Narrow" w:hAnsi="Arial Narrow" w:cs="Calibri"/>
          <w:sz w:val="23"/>
          <w:szCs w:val="23"/>
        </w:rPr>
        <w:t xml:space="preserve"> Crne Gore ("Službeni list Crne Gore", br. 58/15), Zakoniku o krivičnom postupku ("Službeni list Crne Gore", br. 2/15), Zakonu o postupanju sa maloljetnicima u krivičnom postupku ("Službeni list Crne Gore", br. 64/11) </w:t>
      </w:r>
      <w:r w:rsidRPr="007A4CA1">
        <w:rPr>
          <w:rFonts w:ascii="Arial Narrow" w:eastAsia="Times New Roman" w:hAnsi="Arial Narrow" w:cs="Times New Roman"/>
          <w:sz w:val="24"/>
          <w:szCs w:val="24"/>
        </w:rPr>
        <w:t xml:space="preserve">postoji terminologija koja se temelji na razlikovnju više kategorija maloljetnika i podjeli na krivično neodgovorne i krivično odgovorne. Naime, djetetom se smatra lice koje nije navršilo 14 godina, a koje nije krivično odgovorno. Maloljetnikom se smatra lice koje je navršilo 14, a nije navršilo 18 godina života, a koje je krivično odgovorno (mlađi maloljetnik je lice koje je navršilo 14, a nije navršilo 16 godina života; stariji maloljetnik je lice koje je navršilo 16, a nije navršilo 18 godina života). </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zakonima kojima se uređuje krivična odgovornost i postupak definisati pojam djeteta u skladu sa Konvencijom.</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ind w:left="720"/>
        <w:contextualSpacing/>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13" w:name="_Toc484780048"/>
      <w:r w:rsidRPr="007A4CA1">
        <w:rPr>
          <w:rFonts w:ascii="Arial Narrow" w:eastAsia="Times New Roman" w:hAnsi="Arial Narrow" w:cstheme="majorBidi"/>
          <w:b/>
          <w:sz w:val="32"/>
          <w:szCs w:val="32"/>
        </w:rPr>
        <w:lastRenderedPageBreak/>
        <w:t>III OPŠTA NAČELA</w:t>
      </w:r>
      <w:bookmarkEnd w:id="13"/>
      <w:r w:rsidRPr="007A4CA1">
        <w:rPr>
          <w:rFonts w:ascii="Arial Narrow" w:eastAsia="Times New Roman" w:hAnsi="Arial Narrow" w:cstheme="majorBidi"/>
          <w:b/>
          <w:sz w:val="32"/>
          <w:szCs w:val="32"/>
        </w:rPr>
        <w:t xml:space="preserve"> </w:t>
      </w:r>
    </w:p>
    <w:p w:rsidR="007A4CA1" w:rsidRPr="007A4CA1" w:rsidRDefault="007A4CA1" w:rsidP="007A4CA1">
      <w:pPr>
        <w:spacing w:after="0" w:line="240" w:lineRule="auto"/>
        <w:jc w:val="center"/>
        <w:rPr>
          <w:rFonts w:ascii="Arial Narrow" w:hAnsi="Arial Narrow"/>
          <w:b/>
          <w:sz w:val="24"/>
        </w:rPr>
      </w:pPr>
      <w:r w:rsidRPr="007A4CA1">
        <w:rPr>
          <w:rFonts w:ascii="Arial Narrow" w:hAnsi="Arial Narrow"/>
          <w:b/>
          <w:sz w:val="24"/>
        </w:rPr>
        <w:t>(Čl. 2,3,6 i 12 Konvencije)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ind w:left="720"/>
        <w:contextualSpacing/>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14" w:name="_Toc484780049"/>
      <w:r w:rsidRPr="007A4CA1">
        <w:rPr>
          <w:rFonts w:ascii="Arial Narrow" w:eastAsia="Times New Roman" w:hAnsi="Arial Narrow" w:cstheme="majorBidi"/>
          <w:b/>
          <w:sz w:val="28"/>
          <w:szCs w:val="26"/>
        </w:rPr>
        <w:t>3.1. Nediskriminacija</w:t>
      </w:r>
      <w:bookmarkEnd w:id="14"/>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stavovi 26 i 27, 2010, Državni izvjestaj, stavovi 33-43)</w:t>
      </w:r>
    </w:p>
    <w:p w:rsidR="007A4CA1" w:rsidRPr="007A4CA1" w:rsidRDefault="007A4CA1" w:rsidP="007A4CA1">
      <w:pPr>
        <w:spacing w:after="0" w:line="240" w:lineRule="auto"/>
        <w:ind w:left="1440"/>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 pored usvojenih brojnih dokumenta kojima se zabranjuje svaka neposredna ili posredna diskriminacija po bilo kom osnovu, te sprovedenih edukacija i javnih kampanja za borbu protiv negativnih stavova i diskriminacije djece i dalje postoji potreba za kontinuiranim aktivnostima.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Zaštitnik je u saradnji sa NVO sektorom uz podršku međinarodnih donatora uradio </w:t>
      </w:r>
      <w:r w:rsidRPr="007A4CA1">
        <w:rPr>
          <w:rFonts w:ascii="Arial Narrow" w:eastAsia="Times New Roman" w:hAnsi="Arial Narrow" w:cs="Times New Roman"/>
          <w:b/>
          <w:i/>
          <w:sz w:val="24"/>
          <w:szCs w:val="24"/>
        </w:rPr>
        <w:t>strip Nevolje sa Rokijem i druge price o dječjim pravima</w:t>
      </w:r>
      <w:r w:rsidRPr="007A4CA1">
        <w:rPr>
          <w:rFonts w:ascii="Arial Narrow" w:eastAsia="Times New Roman" w:hAnsi="Arial Narrow" w:cs="Times New Roman"/>
          <w:sz w:val="24"/>
          <w:szCs w:val="24"/>
        </w:rPr>
        <w:t xml:space="preserve"> o pravima djeteta.</w:t>
      </w:r>
      <w:r w:rsidRPr="007A4CA1">
        <w:rPr>
          <w:rFonts w:ascii="Arial Narrow" w:hAnsi="Arial Narrow"/>
          <w:sz w:val="24"/>
          <w:szCs w:val="24"/>
        </w:rPr>
        <w:t xml:space="preserve"> Nacionalni savjet za obrazovanje</w:t>
      </w:r>
      <w:r w:rsidRPr="007A4CA1">
        <w:rPr>
          <w:rFonts w:ascii="Arial Narrow" w:hAnsi="Arial Narrow"/>
          <w:sz w:val="24"/>
        </w:rPr>
        <w:t xml:space="preserve">, </w:t>
      </w:r>
      <w:r w:rsidRPr="007A4CA1">
        <w:rPr>
          <w:rFonts w:ascii="Arial Narrow" w:hAnsi="Arial Narrow"/>
          <w:sz w:val="24"/>
          <w:szCs w:val="24"/>
        </w:rPr>
        <w:t>rješenjem broj 16</w:t>
      </w:r>
      <w:r w:rsidRPr="007A4CA1">
        <w:rPr>
          <w:rFonts w:ascii="Arial Narrow" w:hAnsi="Arial Narrow"/>
          <w:sz w:val="24"/>
        </w:rPr>
        <w:t>-6932 od 26.</w:t>
      </w:r>
      <w:r w:rsidRPr="007A4CA1">
        <w:rPr>
          <w:rFonts w:ascii="Arial Narrow" w:hAnsi="Arial Narrow"/>
          <w:sz w:val="24"/>
          <w:szCs w:val="24"/>
        </w:rPr>
        <w:t xml:space="preserve">12.2013. godine, odobrio je ovaj Strip za upotrebu u osnovnoj školi </w:t>
      </w:r>
      <w:r w:rsidRPr="007A4CA1">
        <w:rPr>
          <w:rFonts w:ascii="Arial Narrow" w:eastAsia="Times New Roman" w:hAnsi="Arial Narrow" w:cs="Times New Roman"/>
          <w:sz w:val="24"/>
          <w:szCs w:val="24"/>
        </w:rPr>
        <w:t>i koristi se kao pomoćno nastavno sredstvo za učenike osnovnih škola za predmet građansko vaspitanje. Strip čini pet epizoda osmišljenih na osnovu najčešćih tema o kojima su djeca iz Crne Gore pisala Zaštitniku: diskriminacija po osnovu invaliditeta, društveno imovinskog statusa, vršnjačkog nasilja, nasilja nastavnika prema djeci i nedovoljne participacije djece. Promocija nediskriminacije je</w:t>
      </w:r>
      <w:r w:rsidRPr="007A4CA1">
        <w:rPr>
          <w:rFonts w:ascii="Arial Narrow" w:eastAsia="Times New Roman" w:hAnsi="Arial Narrow" w:cs="Times New Roman"/>
          <w:color w:val="FF0000"/>
          <w:sz w:val="24"/>
          <w:szCs w:val="24"/>
        </w:rPr>
        <w:t xml:space="preserve"> </w:t>
      </w:r>
      <w:r w:rsidRPr="007A4CA1">
        <w:rPr>
          <w:rFonts w:ascii="Arial Narrow" w:eastAsia="Times New Roman" w:hAnsi="Arial Narrow" w:cs="Times New Roman"/>
          <w:sz w:val="24"/>
          <w:szCs w:val="24"/>
        </w:rPr>
        <w:t xml:space="preserve">jedna od redovnih aktivnosti Zaštitnika.  </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aktivnosti na podizanju svijesti javnosti o specifičnim potrebama ranjivih grupa djece kako bi se obezbijedilo njihovo puno uključenje u društvo;</w:t>
            </w:r>
          </w:p>
          <w:p w:rsidR="007A4CA1" w:rsidRPr="007A4CA1" w:rsidRDefault="007A4CA1" w:rsidP="007A4CA1">
            <w:pPr>
              <w:numPr>
                <w:ilvl w:val="0"/>
                <w:numId w:val="2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Izraditi i sprovoditi kontinuirane preventivne programe usmjerene na učenje djece o toleranciji, nediskriminaciji i prihvatanju različitosti;</w:t>
            </w:r>
          </w:p>
          <w:p w:rsidR="007A4CA1" w:rsidRPr="007A4CA1" w:rsidRDefault="007A4CA1" w:rsidP="007A4CA1">
            <w:pPr>
              <w:numPr>
                <w:ilvl w:val="0"/>
                <w:numId w:val="2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Realizovati edukativne programe namijenjene roditeljima i profesionalcima koji rade sa djecom u cilju prevencije diskriminacije po bilo kom osnovu.</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15" w:name="_Toc484780050"/>
      <w:r w:rsidRPr="007A4CA1">
        <w:rPr>
          <w:rFonts w:ascii="Arial Narrow" w:eastAsia="Times New Roman" w:hAnsi="Arial Narrow" w:cstheme="majorBidi"/>
          <w:b/>
          <w:sz w:val="28"/>
          <w:szCs w:val="26"/>
        </w:rPr>
        <w:t>3.2. Najbolji interes djeteta</w:t>
      </w:r>
      <w:bookmarkEnd w:id="15"/>
    </w:p>
    <w:p w:rsidR="007A4CA1" w:rsidRPr="007A4CA1" w:rsidRDefault="007A4CA1" w:rsidP="007A4CA1">
      <w:pPr>
        <w:spacing w:after="0" w:line="240" w:lineRule="auto"/>
        <w:jc w:val="both"/>
        <w:rPr>
          <w:rFonts w:ascii="Arial Narrow" w:hAnsi="Arial Narrow"/>
          <w:b/>
          <w:sz w:val="24"/>
        </w:rPr>
      </w:pPr>
      <w:r w:rsidRPr="007A4CA1">
        <w:rPr>
          <w:rFonts w:ascii="Arial Narrow" w:hAnsi="Arial Narrow"/>
          <w:b/>
          <w:sz w:val="24"/>
        </w:rPr>
        <w:t>(Preporuka Komiteta, stav 29, 2010, Državni izvjestaj, stav 44)</w:t>
      </w:r>
    </w:p>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Evidentno je da je ostvaren napredak u integrisanju koncepta najbolji interes djeteta u domaće zakonodavstvo, ali primijetno je da postoji potreba za unapređenjem primjene ovog načela u praksi od starane organa i institucija.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Izmjenama i dopunama Porodičnog zakona </w:t>
      </w:r>
      <w:r w:rsidRPr="007A4CA1">
        <w:rPr>
          <w:rFonts w:ascii="Arial Narrow" w:hAnsi="Arial Narrow" w:cs="Calibri"/>
          <w:sz w:val="23"/>
          <w:szCs w:val="23"/>
        </w:rPr>
        <w:t>("Službeni list Crne Gore", br. 053/</w:t>
      </w:r>
      <w:r w:rsidRPr="007A4CA1">
        <w:rPr>
          <w:rFonts w:ascii="Arial" w:hAnsi="Arial" w:cs="Arial"/>
          <w:sz w:val="23"/>
          <w:szCs w:val="23"/>
        </w:rPr>
        <w:t>​</w:t>
      </w:r>
      <w:r w:rsidRPr="007A4CA1">
        <w:rPr>
          <w:rFonts w:ascii="Arial Narrow" w:hAnsi="Arial Narrow" w:cs="Calibri"/>
          <w:sz w:val="23"/>
          <w:szCs w:val="23"/>
        </w:rPr>
        <w:t>16) propisano je da prilikom dono</w:t>
      </w:r>
      <w:r w:rsidRPr="007A4CA1">
        <w:rPr>
          <w:rFonts w:ascii="Arial Narrow" w:hAnsi="Arial Narrow" w:cs="Arial Narrow"/>
          <w:sz w:val="23"/>
          <w:szCs w:val="23"/>
        </w:rPr>
        <w:t>š</w:t>
      </w:r>
      <w:r w:rsidRPr="007A4CA1">
        <w:rPr>
          <w:rFonts w:ascii="Arial Narrow" w:hAnsi="Arial Narrow" w:cs="Calibri"/>
          <w:sz w:val="23"/>
          <w:szCs w:val="23"/>
        </w:rPr>
        <w:t>enja odluka koje se ti</w:t>
      </w:r>
      <w:r w:rsidRPr="007A4CA1">
        <w:rPr>
          <w:rFonts w:ascii="Arial Narrow" w:hAnsi="Arial Narrow" w:cs="Arial Narrow"/>
          <w:sz w:val="23"/>
          <w:szCs w:val="23"/>
        </w:rPr>
        <w:t>č</w:t>
      </w:r>
      <w:r w:rsidRPr="007A4CA1">
        <w:rPr>
          <w:rFonts w:ascii="Arial Narrow" w:hAnsi="Arial Narrow" w:cs="Calibri"/>
          <w:sz w:val="23"/>
          <w:szCs w:val="23"/>
        </w:rPr>
        <w:t>u djeteta sud, uzimaju</w:t>
      </w:r>
      <w:r w:rsidRPr="007A4CA1">
        <w:rPr>
          <w:rFonts w:ascii="Arial Narrow" w:hAnsi="Arial Narrow" w:cs="Arial Narrow"/>
          <w:sz w:val="23"/>
          <w:szCs w:val="23"/>
        </w:rPr>
        <w:t>ć</w:t>
      </w:r>
      <w:r w:rsidRPr="007A4CA1">
        <w:rPr>
          <w:rFonts w:ascii="Arial Narrow" w:hAnsi="Arial Narrow" w:cs="Calibri"/>
          <w:sz w:val="23"/>
          <w:szCs w:val="23"/>
        </w:rPr>
        <w:t>i u obzir sve okolnosti i opravdane interese svih u</w:t>
      </w:r>
      <w:r w:rsidRPr="007A4CA1">
        <w:rPr>
          <w:rFonts w:ascii="Arial Narrow" w:hAnsi="Arial Narrow" w:cs="Arial Narrow"/>
          <w:sz w:val="23"/>
          <w:szCs w:val="23"/>
        </w:rPr>
        <w:t>č</w:t>
      </w:r>
      <w:r w:rsidRPr="007A4CA1">
        <w:rPr>
          <w:rFonts w:ascii="Arial Narrow" w:hAnsi="Arial Narrow" w:cs="Calibri"/>
          <w:sz w:val="23"/>
          <w:szCs w:val="23"/>
        </w:rPr>
        <w:t>esnika vodi ra</w:t>
      </w:r>
      <w:r w:rsidRPr="007A4CA1">
        <w:rPr>
          <w:rFonts w:ascii="Arial Narrow" w:hAnsi="Arial Narrow" w:cs="Arial Narrow"/>
          <w:sz w:val="23"/>
          <w:szCs w:val="23"/>
        </w:rPr>
        <w:t>č</w:t>
      </w:r>
      <w:r w:rsidRPr="007A4CA1">
        <w:rPr>
          <w:rFonts w:ascii="Arial Narrow" w:hAnsi="Arial Narrow" w:cs="Calibri"/>
          <w:sz w:val="23"/>
          <w:szCs w:val="23"/>
        </w:rPr>
        <w:t>una da odluka koju donosi u najve</w:t>
      </w:r>
      <w:r w:rsidRPr="007A4CA1">
        <w:rPr>
          <w:rFonts w:ascii="Arial Narrow" w:hAnsi="Arial Narrow" w:cs="Arial Narrow"/>
          <w:sz w:val="23"/>
          <w:szCs w:val="23"/>
        </w:rPr>
        <w:t>ć</w:t>
      </w:r>
      <w:r w:rsidRPr="007A4CA1">
        <w:rPr>
          <w:rFonts w:ascii="Arial Narrow" w:hAnsi="Arial Narrow" w:cs="Calibri"/>
          <w:sz w:val="23"/>
          <w:szCs w:val="23"/>
        </w:rPr>
        <w:t>oj mjeri doprinosi ostvarivanju najboljeg interesa djeteta. Takođe, propisano je da ako se odluka suda razlikuje od mišljenja djeteta obrazloženje mora da sadrži razloge zbog kojih mišljenje djeteta nije uvaženo, kao i razloge zbog kojih sud smatra da je najbolji interes djeteta imao prvenstven značaj.</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3"/>
              </w:numPr>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sz w:val="24"/>
                <w:szCs w:val="24"/>
              </w:rPr>
              <w:t>Definisati smjernice i elemente za utvrđivanje principa najboljeg interesa djeteta u pojedinačnim oblastima;</w:t>
            </w:r>
          </w:p>
          <w:p w:rsidR="007A4CA1" w:rsidRPr="007A4CA1" w:rsidRDefault="007A4CA1" w:rsidP="007A4CA1">
            <w:pPr>
              <w:numPr>
                <w:ilvl w:val="0"/>
                <w:numId w:val="23"/>
              </w:numPr>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sz w:val="24"/>
                <w:szCs w:val="24"/>
              </w:rPr>
              <w:t>Nastaviti sa edukacijom stručnih radnika koji učestvuju u postupcima koji se odnose na djecu o primjeni načela najboljeg interesa djeteta;</w:t>
            </w:r>
          </w:p>
          <w:p w:rsidR="007A4CA1" w:rsidRPr="007A4CA1" w:rsidRDefault="007A4CA1" w:rsidP="007A4CA1">
            <w:pPr>
              <w:numPr>
                <w:ilvl w:val="0"/>
                <w:numId w:val="23"/>
              </w:numPr>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sz w:val="24"/>
                <w:szCs w:val="24"/>
              </w:rPr>
              <w:lastRenderedPageBreak/>
              <w:t>Sprovoditi stalne edukacije profesionalaca o razvojnim potrebama djece koje su od uticaja na definisanje najboljeg interesa djeteta;</w:t>
            </w:r>
          </w:p>
          <w:p w:rsidR="007A4CA1" w:rsidRPr="007A4CA1" w:rsidRDefault="007A4CA1" w:rsidP="007A4CA1">
            <w:pPr>
              <w:numPr>
                <w:ilvl w:val="0"/>
                <w:numId w:val="23"/>
              </w:numPr>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sz w:val="24"/>
                <w:szCs w:val="24"/>
              </w:rPr>
              <w:t>Razviti program obuka sudija za primjenu principa najboljeg interesa djeteta u skladu sa novim rješenjima u okviru Porodičnog zakona.</w:t>
            </w:r>
          </w:p>
          <w:p w:rsidR="007A4CA1" w:rsidRPr="007A4CA1" w:rsidRDefault="007A4CA1" w:rsidP="007A4CA1">
            <w:pPr>
              <w:ind w:left="720"/>
              <w:contextualSpacing/>
              <w:jc w:val="both"/>
              <w:rPr>
                <w:rFonts w:ascii="Arial Narrow" w:eastAsia="Times New Roman" w:hAnsi="Arial Narrow" w:cs="Times New Roman"/>
                <w:b/>
                <w:sz w:val="24"/>
                <w:szCs w:val="24"/>
              </w:rPr>
            </w:pPr>
          </w:p>
        </w:tc>
      </w:tr>
    </w:tbl>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16" w:name="_Toc484780051"/>
      <w:r w:rsidRPr="007A4CA1">
        <w:rPr>
          <w:rFonts w:ascii="Arial Narrow" w:eastAsia="Times New Roman" w:hAnsi="Arial Narrow" w:cstheme="majorBidi"/>
          <w:b/>
          <w:sz w:val="28"/>
          <w:szCs w:val="26"/>
        </w:rPr>
        <w:t>3.3. Poštovanje stavova djeteta</w:t>
      </w:r>
      <w:bookmarkEnd w:id="16"/>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31, 2010, Državni izvjestaj, stavovi 45-47)</w:t>
      </w:r>
    </w:p>
    <w:p w:rsidR="007A4CA1" w:rsidRPr="007A4CA1" w:rsidRDefault="007A4CA1" w:rsidP="007A4CA1">
      <w:pPr>
        <w:spacing w:after="0" w:line="240" w:lineRule="auto"/>
        <w:ind w:left="1440"/>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Načelo poštovanja stavova djeteta ne sprovodi se u dovoljnoj mjeri i odrasli ga najčešće deklarativno prihvataju. Evidentne su i zloupotrebe ovog načela.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Izmjenama i dopunama Porodičnog zakona </w:t>
      </w:r>
      <w:r w:rsidRPr="007A4CA1">
        <w:rPr>
          <w:rFonts w:ascii="Arial Narrow" w:hAnsi="Arial Narrow" w:cs="Calibri"/>
          <w:sz w:val="23"/>
          <w:szCs w:val="23"/>
        </w:rPr>
        <w:t>("Službeni list Crne Gore", br. 053/</w:t>
      </w:r>
      <w:r w:rsidRPr="007A4CA1">
        <w:rPr>
          <w:rFonts w:ascii="Arial" w:hAnsi="Arial" w:cs="Arial"/>
          <w:sz w:val="23"/>
          <w:szCs w:val="23"/>
        </w:rPr>
        <w:t>​</w:t>
      </w:r>
      <w:r w:rsidRPr="007A4CA1">
        <w:rPr>
          <w:rFonts w:ascii="Arial Narrow" w:hAnsi="Arial Narrow" w:cs="Calibri"/>
          <w:sz w:val="23"/>
          <w:szCs w:val="23"/>
        </w:rPr>
        <w:t>16),</w:t>
      </w:r>
      <w:r w:rsidRPr="007A4CA1">
        <w:rPr>
          <w:rFonts w:ascii="Arial Narrow" w:eastAsia="Times New Roman" w:hAnsi="Arial Narrow" w:cs="Times New Roman"/>
          <w:sz w:val="24"/>
          <w:szCs w:val="24"/>
        </w:rPr>
        <w:t xml:space="preserve"> propisano je da je sud dužan da omogući djetetu da izrazi svoje mišljenje ako dijete to želi. Sud neće utvrđivati mišljenje djeteta samo ako za to postoje izričito opravdani razlozi koji se u odluci moraju obrazložiti. Takođe, propisano je da mišljenje djeteta sudu može prenijeti i lice za podršku ili organ starateljstva. O efektima ove norme još uvijek je preuranjeno govoriti.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Iako je načelo poštovanja stavova djeteta inkorporirano i u zakone iz oblasti obrazovanja, često se suočavamo sa činjenicom da djeca ne učestvuju u donošenju odluka koje ih se tiču, a uloga učeničkih parlamenata je svedena na zadovoljavanje školama propisane obaveze.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Posebno zabrinjava neadekvatna primjena ovog načela u postupcima u kojima se odlučuje sa kojim roditeljem će djete živjeti nakon razvoda braka i o načinu uređenja kontakata sa roditeljem sa kojim ne živi.</w:t>
      </w: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Postoje pojedini pozitivni primjeri uključenja djece u proces donošenja odluka na lokalnom nivou – lokalni đački parlamenti koji funkcionišu uz podršku NVO sektora, ali ti primjeri nijesu pretočeni u praksu i pravilo.</w:t>
      </w: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 </w:t>
      </w: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Zaštitnik je 2015. godine u saradnji sa Zlatnim savjetnicima organizovao Konferenciju </w:t>
      </w:r>
      <w:r w:rsidRPr="007A4CA1">
        <w:rPr>
          <w:rFonts w:ascii="Arial Narrow" w:eastAsia="Times New Roman" w:hAnsi="Arial Narrow" w:cs="Times New Roman"/>
          <w:b/>
          <w:i/>
          <w:sz w:val="24"/>
          <w:szCs w:val="24"/>
        </w:rPr>
        <w:t>Neka se čuje i naš glas,</w:t>
      </w:r>
      <w:r w:rsidRPr="007A4CA1">
        <w:rPr>
          <w:rFonts w:ascii="Arial Narrow" w:eastAsia="Times New Roman" w:hAnsi="Arial Narrow" w:cs="Times New Roman"/>
          <w:sz w:val="24"/>
          <w:szCs w:val="24"/>
        </w:rPr>
        <w:t xml:space="preserve"> koja je bila posvećena pravu djeteta na participaciju i kojom prilikom su djeca iskazala na koji način se dječja prava poštuju u različitim sredinama Crne Gore.</w:t>
      </w:r>
      <w:r w:rsidRPr="007A4CA1">
        <w:rPr>
          <w:rFonts w:ascii="Arial Narrow" w:eastAsia="Times New Roman" w:hAnsi="Arial Narrow" w:cs="Times New Roman"/>
          <w:b/>
          <w:i/>
          <w:sz w:val="24"/>
          <w:szCs w:val="24"/>
        </w:rPr>
        <w:t xml:space="preserve"> </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Predvidjeti obavezu da nadležni organi i javne institucije prilikom donošenja odluka koje se tiču djece moraju osigurati proces konsultacija sa djecom koji će biti prilagođen godinama života i zrelošću djeteta;</w:t>
            </w:r>
          </w:p>
          <w:p w:rsidR="007A4CA1" w:rsidRPr="007A4CA1" w:rsidRDefault="007A4CA1" w:rsidP="007A4CA1">
            <w:pPr>
              <w:numPr>
                <w:ilvl w:val="0"/>
                <w:numId w:val="2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Obezbijediti dosljednu primjenu novih rješenja propisanih Izmjenama i dopunama </w:t>
            </w:r>
            <w:r w:rsidRPr="007A4CA1">
              <w:rPr>
                <w:rFonts w:ascii="Arial Narrow" w:hAnsi="Arial Narrow" w:cs="Calibri"/>
                <w:sz w:val="23"/>
                <w:szCs w:val="23"/>
              </w:rPr>
              <w:t>Porodičnog zakona ("Službeni list Crne Gore", br. 053/</w:t>
            </w:r>
            <w:r w:rsidRPr="007A4CA1">
              <w:rPr>
                <w:rFonts w:ascii="Arial" w:hAnsi="Arial" w:cs="Arial"/>
                <w:sz w:val="23"/>
                <w:szCs w:val="23"/>
              </w:rPr>
              <w:t>​</w:t>
            </w:r>
            <w:r w:rsidRPr="007A4CA1">
              <w:rPr>
                <w:rFonts w:ascii="Arial Narrow" w:hAnsi="Arial Narrow" w:cs="Calibri"/>
                <w:sz w:val="23"/>
                <w:szCs w:val="23"/>
              </w:rPr>
              <w:t>16);</w:t>
            </w:r>
          </w:p>
          <w:p w:rsidR="007A4CA1" w:rsidRPr="007A4CA1" w:rsidRDefault="007A4CA1" w:rsidP="007A4CA1">
            <w:pPr>
              <w:numPr>
                <w:ilvl w:val="0"/>
                <w:numId w:val="2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Aktivno podsticati rad učeničkih parlamenata i obezbijediti kontrolu ispunjenosti uslova za njihov rad, kao i promovisati primjere dobre prakse;</w:t>
            </w:r>
          </w:p>
          <w:p w:rsidR="007A4CA1" w:rsidRPr="007A4CA1" w:rsidRDefault="007A4CA1" w:rsidP="007A4CA1">
            <w:pPr>
              <w:numPr>
                <w:ilvl w:val="0"/>
                <w:numId w:val="2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mehanizme učešća djece i mladih u lokalnoj zajednici kroz dalje jačanje i povezivanje postojećih instituta – učeničkih parlamenata, lokalnih dječijih parlamenata i kancelarija za mlade;</w:t>
            </w:r>
          </w:p>
          <w:p w:rsidR="007A4CA1" w:rsidRPr="007A4CA1" w:rsidRDefault="007A4CA1" w:rsidP="007A4CA1">
            <w:pPr>
              <w:numPr>
                <w:ilvl w:val="0"/>
                <w:numId w:val="2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jasne mehanizme koji će omogućiti da djeca mogu da izraze svoje stavove u postupcima koji se odnose na odlučivanje sa kojim roditeljem će djete živjeti nakon razvoda braka, te načinu uređenja kontakata sa roditeljem sa kojim ne živi, kroz jačanje stručnih službi u sudu i većoj povezanosti sa Centrima za socijalni rad.</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17" w:name="_Toc484780052"/>
      <w:r w:rsidRPr="007A4CA1">
        <w:rPr>
          <w:rFonts w:ascii="Arial Narrow" w:eastAsia="Times New Roman" w:hAnsi="Arial Narrow" w:cstheme="majorBidi"/>
          <w:b/>
          <w:sz w:val="32"/>
          <w:szCs w:val="32"/>
        </w:rPr>
        <w:lastRenderedPageBreak/>
        <w:t>VI GRAĐANSKA PRAVA I SLOBODE</w:t>
      </w:r>
      <w:bookmarkEnd w:id="17"/>
    </w:p>
    <w:p w:rsidR="007A4CA1" w:rsidRPr="007A4CA1" w:rsidRDefault="007A4CA1" w:rsidP="007A4CA1">
      <w:pPr>
        <w:spacing w:after="0" w:line="240" w:lineRule="auto"/>
        <w:jc w:val="center"/>
        <w:rPr>
          <w:rFonts w:ascii="Arial Narrow" w:hAnsi="Arial Narrow"/>
          <w:b/>
          <w:sz w:val="24"/>
        </w:rPr>
      </w:pPr>
      <w:r w:rsidRPr="007A4CA1">
        <w:rPr>
          <w:rFonts w:ascii="Arial Narrow" w:hAnsi="Arial Narrow"/>
          <w:b/>
          <w:sz w:val="24"/>
        </w:rPr>
        <w:t>(Čl. 7, 8, 13-17 i 37(a) Konvencije)</w:t>
      </w:r>
    </w:p>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spacing w:after="0" w:line="240" w:lineRule="auto"/>
        <w:jc w:val="both"/>
        <w:rPr>
          <w:rFonts w:ascii="Arial Narrow" w:eastAsia="Times New Roman" w:hAnsi="Arial Narrow" w:cs="Times New Roman"/>
          <w:sz w:val="24"/>
          <w:szCs w:val="24"/>
          <w:highlight w:val="lightGray"/>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18" w:name="_Toc484780053"/>
      <w:r w:rsidRPr="007A4CA1">
        <w:rPr>
          <w:rFonts w:ascii="Arial Narrow" w:eastAsia="Times New Roman" w:hAnsi="Arial Narrow" w:cstheme="majorBidi"/>
          <w:b/>
          <w:sz w:val="28"/>
          <w:szCs w:val="26"/>
        </w:rPr>
        <w:t>4.1. Registracija rođenja</w:t>
      </w:r>
      <w:bookmarkEnd w:id="18"/>
    </w:p>
    <w:p w:rsidR="007A4CA1" w:rsidRPr="007A4CA1" w:rsidRDefault="007A4CA1" w:rsidP="007A4CA1">
      <w:pPr>
        <w:spacing w:after="0" w:line="240" w:lineRule="auto"/>
        <w:jc w:val="both"/>
        <w:rPr>
          <w:rFonts w:ascii="Arial Narrow" w:hAnsi="Arial Narrow"/>
          <w:sz w:val="24"/>
        </w:rPr>
      </w:pPr>
      <w:r w:rsidRPr="007A4CA1">
        <w:rPr>
          <w:rFonts w:ascii="Arial Narrow" w:eastAsia="Times New Roman" w:hAnsi="Arial Narrow" w:cs="Times New Roman"/>
          <w:b/>
          <w:sz w:val="24"/>
          <w:szCs w:val="24"/>
        </w:rPr>
        <w:t>(Preporuka Komiteta, stav 33, 2010, Državni izvjestaj, stavovi 48-51)</w:t>
      </w:r>
    </w:p>
    <w:p w:rsidR="007A4CA1" w:rsidRPr="007A4CA1" w:rsidRDefault="007A4CA1" w:rsidP="007A4CA1">
      <w:pPr>
        <w:spacing w:after="0" w:line="240" w:lineRule="auto"/>
        <w:jc w:val="both"/>
        <w:rPr>
          <w:rFonts w:ascii="Arial Narrow" w:eastAsia="Times New Roman" w:hAnsi="Arial Narrow" w:cs="Times New Roman"/>
          <w:color w:val="7030A0"/>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Evidentno je da se u Crnoj Gori još uvijek nalazi jedan broj raseljenih i interno raseljenih lica iz bivših jugoslovenskih republika (oko 900 lica) koja nijesu ostvarila status stranca sa stalnim nastanjenjem iz razloga neposjedovanja ličnih dokumenata zemlje porijekla.</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aktivnostima upisa djece u matične registre rođenih, kako bi se onemogućilo stvaranje apatrida.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19" w:name="_Toc484780054"/>
      <w:r w:rsidRPr="007A4CA1">
        <w:rPr>
          <w:rFonts w:ascii="Arial Narrow" w:eastAsia="Times New Roman" w:hAnsi="Arial Narrow" w:cstheme="majorBidi"/>
          <w:b/>
          <w:sz w:val="28"/>
          <w:szCs w:val="26"/>
        </w:rPr>
        <w:t>4.2. Mučenje i drugo okrutno, nečovječno ili ponižavajuće postupanje ili kažnjavanje</w:t>
      </w:r>
      <w:bookmarkEnd w:id="19"/>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35, 2010, Državni izvjestaj, stavovi 52-56)</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Zakonom o Zaštitniku </w:t>
      </w:r>
      <w:r w:rsidRPr="007A4CA1">
        <w:rPr>
          <w:rFonts w:ascii="Arial Narrow" w:hAnsi="Arial Narrow" w:cs="Calibri"/>
          <w:sz w:val="23"/>
          <w:szCs w:val="23"/>
        </w:rPr>
        <w:t>("Službeni list Crne Gore", br. 42/11, 32/14 i 21/17),</w:t>
      </w:r>
      <w:r w:rsidRPr="007A4CA1">
        <w:rPr>
          <w:rFonts w:ascii="Arial Narrow" w:eastAsia="Times New Roman" w:hAnsi="Arial Narrow" w:cs="Times New Roman"/>
          <w:sz w:val="24"/>
          <w:szCs w:val="24"/>
        </w:rPr>
        <w:t xml:space="preserve"> propisano da je da je Zaštitnik i Nacionalni mehanizam za prevenciju i sprečavanje mučenja i drugih oblika nečovječnog ili ponižavajućeg postupanja i kažnjavanja (NPM). U tom svojstvu redovno se obilaze ustanove u kojima su smještena djeca u sukobu sa zakonom, kao i druge ustanove u kojima borave djeca </w:t>
      </w:r>
      <w:r w:rsidRPr="007A4CA1">
        <w:rPr>
          <w:rFonts w:ascii="Arial Narrow" w:eastAsia="Times New Roman" w:hAnsi="Arial Narrow" w:cs="Times New Roman"/>
          <w:sz w:val="24"/>
          <w:szCs w:val="24"/>
          <w:lang w:val="sr-Latn-ME"/>
        </w:rPr>
        <w:t>obuhvaćena ovim nadzornim mehanizmom (npr. psihijatrijske ustanove i sl.)</w:t>
      </w:r>
      <w:r w:rsidRPr="007A4CA1">
        <w:rPr>
          <w:rFonts w:ascii="Arial Narrow" w:eastAsia="Times New Roman" w:hAnsi="Arial Narrow" w:cs="Times New Roman"/>
          <w:sz w:val="24"/>
          <w:szCs w:val="24"/>
        </w:rPr>
        <w:t xml:space="preserve">. Satavni dio godišnjih izvještaja NPM –a su i izvještaji koji se odnose na obilaske maloljetničkog zatvora kao i ustanova zavodskog i nezavodskog tipa i u njima se analizira stanje i daju preporuke nadležnim organima u cilju unapređenja.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tabs>
          <w:tab w:val="left" w:pos="567"/>
        </w:tabs>
        <w:spacing w:after="0" w:line="240" w:lineRule="auto"/>
        <w:jc w:val="both"/>
        <w:rPr>
          <w:rFonts w:ascii="Arial Narrow" w:eastAsia="Calibri" w:hAnsi="Arial Narrow" w:cs="Times New Roman"/>
          <w:sz w:val="24"/>
          <w:szCs w:val="24"/>
          <w:lang w:val="sr-Latn-ME"/>
        </w:rPr>
      </w:pPr>
      <w:r w:rsidRPr="007A4CA1">
        <w:rPr>
          <w:rFonts w:ascii="Arial Narrow" w:eastAsia="Calibri" w:hAnsi="Arial Narrow" w:cs="Times New Roman"/>
          <w:sz w:val="24"/>
          <w:szCs w:val="24"/>
          <w:lang w:val="sr-Latn-ME"/>
        </w:rPr>
        <w:t xml:space="preserve">Kazna maloljetničkog zatvora, te sankcija upućivanja u ustanovu zavodskog tipa, izvršavaju se u okviru Zavoda za izvršenje krivičnih sankcija (ZIKS) u okviru kojeg su organizovane posebene jedinice. </w:t>
      </w:r>
    </w:p>
    <w:p w:rsidR="007A4CA1" w:rsidRPr="007A4CA1" w:rsidRDefault="007A4CA1" w:rsidP="007A4CA1">
      <w:pPr>
        <w:tabs>
          <w:tab w:val="left" w:pos="567"/>
        </w:tabs>
        <w:spacing w:after="0" w:line="240" w:lineRule="auto"/>
        <w:jc w:val="both"/>
        <w:rPr>
          <w:rFonts w:ascii="Arial Narrow" w:eastAsia="Calibri" w:hAnsi="Arial Narrow" w:cs="Times New Roman"/>
          <w:sz w:val="24"/>
          <w:szCs w:val="24"/>
          <w:lang w:val="sr-Latn-ME"/>
        </w:rPr>
      </w:pPr>
    </w:p>
    <w:p w:rsidR="007A4CA1" w:rsidRPr="007A4CA1" w:rsidRDefault="007A4CA1" w:rsidP="007A4CA1">
      <w:pPr>
        <w:tabs>
          <w:tab w:val="left" w:pos="567"/>
        </w:tabs>
        <w:spacing w:after="0" w:line="240" w:lineRule="auto"/>
        <w:jc w:val="both"/>
        <w:rPr>
          <w:rFonts w:ascii="Arial Narrow" w:eastAsia="Calibri" w:hAnsi="Arial Narrow" w:cs="Times New Roman"/>
          <w:sz w:val="24"/>
          <w:szCs w:val="24"/>
          <w:lang w:val="sr-Latn-ME"/>
        </w:rPr>
      </w:pPr>
      <w:r w:rsidRPr="007A4CA1">
        <w:rPr>
          <w:rFonts w:ascii="Arial Narrow" w:hAnsi="Arial Narrow"/>
          <w:sz w:val="24"/>
          <w:szCs w:val="24"/>
        </w:rPr>
        <w:t>JU Centar "Ljubović" je jedina nezavodska ustanova, socijalne i dječje zaštite u Crnoj Gori, koja se bavi institucionalnom zaštitom djece u sukobu sa zakonom. U Centru se zbrinjavaju, vaspitavaju i osposobljavaju djeca i omladina u sukobu sa zakonom, kao i djeca i omladina sa poremećajima u ponašanju i to djeca i omladina oba pola, državljani Crne Gore kao i strani državljani. Prilikom redovih obilazaka NPM tima konstatovano je da su smještajni uslovi na zavidnom nivou. Preporuke su date u smislu izrade pravila postupanja kao i obezbijeđenja “time out sobe” - za kratkotrajnu terapeutsku izolaciju maloljetnika, kako bi se osiguralo da maloljetnik u afektivnim stanjima i stanjima jake agitiranosti ne povrijedi sebe ili druge.</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Jačati kadrovske potencijale u ustanovama koje se bave ovom problematikom uz obezbjeđenje stalnih edukacija;</w:t>
            </w:r>
          </w:p>
          <w:p w:rsidR="007A4CA1" w:rsidRPr="007A4CA1" w:rsidRDefault="007A4CA1" w:rsidP="007A4CA1">
            <w:pPr>
              <w:numPr>
                <w:ilvl w:val="0"/>
                <w:numId w:val="2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unapređenjem uslova u mjestima u kojima borave maloljetna lica u sukobu sa zakonom.</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20" w:name="_Toc484780055"/>
      <w:r w:rsidRPr="007A4CA1">
        <w:rPr>
          <w:rFonts w:ascii="Arial Narrow" w:eastAsia="Times New Roman" w:hAnsi="Arial Narrow" w:cstheme="majorBidi"/>
          <w:b/>
          <w:sz w:val="28"/>
          <w:szCs w:val="26"/>
        </w:rPr>
        <w:lastRenderedPageBreak/>
        <w:t>4.3. Tjelesno kažnjavanje</w:t>
      </w:r>
      <w:bookmarkEnd w:id="20"/>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(Preporuke Komiteta, stavovi 37 i 38, 2010, Državni izvjestaj, stavovi 57-62)</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lang w:val="sr-Latn-ME"/>
        </w:rPr>
      </w:pPr>
      <w:r w:rsidRPr="007A4CA1">
        <w:rPr>
          <w:rFonts w:ascii="Arial Narrow" w:eastAsia="Times New Roman" w:hAnsi="Arial Narrow" w:cs="Times New Roman"/>
          <w:sz w:val="24"/>
          <w:szCs w:val="24"/>
        </w:rPr>
        <w:t xml:space="preserve">Zakonom o izmjenama i dopunama </w:t>
      </w:r>
      <w:r w:rsidRPr="007A4CA1">
        <w:rPr>
          <w:rFonts w:ascii="Arial Narrow" w:hAnsi="Arial Narrow" w:cs="Calibri"/>
          <w:sz w:val="23"/>
          <w:szCs w:val="23"/>
        </w:rPr>
        <w:t>Porodičnog zakona ("Službeni list Crne Gore", br. 053/</w:t>
      </w:r>
      <w:r w:rsidRPr="007A4CA1">
        <w:rPr>
          <w:rFonts w:ascii="Arial" w:hAnsi="Arial" w:cs="Arial"/>
          <w:sz w:val="23"/>
          <w:szCs w:val="23"/>
        </w:rPr>
        <w:t>​</w:t>
      </w:r>
      <w:r w:rsidRPr="007A4CA1">
        <w:rPr>
          <w:rFonts w:ascii="Arial Narrow" w:hAnsi="Arial Narrow" w:cs="Calibri"/>
          <w:sz w:val="23"/>
          <w:szCs w:val="23"/>
        </w:rPr>
        <w:t>16),</w:t>
      </w:r>
      <w:r w:rsidRPr="007A4CA1">
        <w:rPr>
          <w:rFonts w:ascii="Arial Narrow" w:eastAsia="Times New Roman" w:hAnsi="Arial Narrow" w:cs="Times New Roman"/>
          <w:color w:val="FF0000"/>
          <w:sz w:val="24"/>
          <w:szCs w:val="24"/>
        </w:rPr>
        <w:t xml:space="preserve"> </w:t>
      </w:r>
      <w:r w:rsidRPr="007A4CA1">
        <w:rPr>
          <w:rFonts w:ascii="Arial Narrow" w:eastAsia="Times New Roman" w:hAnsi="Arial Narrow" w:cs="Times New Roman"/>
          <w:sz w:val="24"/>
          <w:szCs w:val="24"/>
        </w:rPr>
        <w:t xml:space="preserve">izričito je propisano da dijete ne smije biti podvrgnuto tjelesnom kažnjavanju ili bilo kom drugom okrutnom, nehumanom ili ponižavajućem postupanju. Zabrana se odnosi na roditelje, staratelje i sva druga lica koja se o djetetu staraju ili dolaze u kontakt sa njim. Zakonom nijesu predviđene sankcije koje bi se mogle primijeniti u slučajevima tjelesnog kažnjavanja. </w:t>
      </w:r>
    </w:p>
    <w:p w:rsidR="007A4CA1" w:rsidRPr="007A4CA1" w:rsidRDefault="007A4CA1" w:rsidP="007A4CA1">
      <w:pPr>
        <w:spacing w:after="0" w:line="240" w:lineRule="auto"/>
        <w:ind w:left="1440"/>
        <w:contextualSpacing/>
        <w:jc w:val="both"/>
        <w:rPr>
          <w:rFonts w:ascii="Arial Narrow" w:eastAsia="Times New Roman" w:hAnsi="Arial Narrow" w:cs="Times New Roman"/>
          <w:b/>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Neophodno je obezbijediti dosljednu primjenu odredbi Zakona koje se odnose na zabranu tjelesnog kažnjavanja; </w:t>
            </w:r>
          </w:p>
          <w:p w:rsidR="007A4CA1" w:rsidRPr="007A4CA1" w:rsidRDefault="007A4CA1" w:rsidP="007A4CA1">
            <w:pPr>
              <w:numPr>
                <w:ilvl w:val="0"/>
                <w:numId w:val="2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Razviti strategiju za promociju pozitivnog roditeljstva, kao i programe podrške namijenjenih roditeljima, starateljima i drugim licima koja se o djetetu staraju ili dolaze u kontakt sa njima i djeci;</w:t>
            </w:r>
          </w:p>
          <w:p w:rsidR="007A4CA1" w:rsidRPr="007A4CA1" w:rsidRDefault="007A4CA1" w:rsidP="007A4CA1">
            <w:pPr>
              <w:numPr>
                <w:ilvl w:val="0"/>
                <w:numId w:val="2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Sprovoditi kampanje uz aktivnu participaciju djece i medija sa posebnim naglaskom na negativni uticaj fizičkog kažnjavanja djece.   </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21" w:name="_Toc484780056"/>
      <w:r w:rsidRPr="007A4CA1">
        <w:rPr>
          <w:rFonts w:ascii="Arial Narrow" w:eastAsia="Times New Roman" w:hAnsi="Arial Narrow" w:cstheme="majorBidi"/>
          <w:b/>
          <w:sz w:val="32"/>
          <w:szCs w:val="32"/>
        </w:rPr>
        <w:t>V PORODIČNO OKRUŽENJE I ALTERNATIVNO ZBRINJAVANJE</w:t>
      </w:r>
      <w:bookmarkEnd w:id="21"/>
    </w:p>
    <w:p w:rsidR="007A4CA1" w:rsidRPr="007A4CA1" w:rsidRDefault="007A4CA1" w:rsidP="007A4CA1">
      <w:pPr>
        <w:spacing w:after="0" w:line="240" w:lineRule="auto"/>
        <w:contextualSpacing/>
        <w:jc w:val="center"/>
        <w:rPr>
          <w:rFonts w:ascii="Arial Narrow" w:eastAsia="Times New Roman" w:hAnsi="Arial Narrow" w:cs="Times New Roman"/>
          <w:b/>
          <w:sz w:val="32"/>
          <w:szCs w:val="32"/>
        </w:rPr>
      </w:pPr>
      <w:r w:rsidRPr="007A4CA1">
        <w:rPr>
          <w:rFonts w:ascii="Arial Narrow" w:eastAsia="Times New Roman" w:hAnsi="Arial Narrow" w:cs="Times New Roman"/>
          <w:b/>
          <w:sz w:val="32"/>
          <w:szCs w:val="32"/>
        </w:rPr>
        <w:t>(član 5, 9–11, 18, stav. 1 i 2, 20, 21, 25 i 27, stav 4 Konvencije)</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22" w:name="_Toc484780057"/>
      <w:r w:rsidRPr="007A4CA1">
        <w:rPr>
          <w:rFonts w:ascii="Arial Narrow" w:eastAsia="Times New Roman" w:hAnsi="Arial Narrow" w:cstheme="majorBidi"/>
          <w:b/>
          <w:sz w:val="28"/>
          <w:szCs w:val="26"/>
        </w:rPr>
        <w:t>5.1. Porodično okruženje</w:t>
      </w:r>
      <w:bookmarkEnd w:id="22"/>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40, 2010, Državni izvjestaj, stav 63)</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autoSpaceDE w:val="0"/>
        <w:autoSpaceDN w:val="0"/>
        <w:adjustRightInd w:val="0"/>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Iako Zakon o socijalnoj i dječjoj zaštiti (“</w:t>
      </w:r>
      <w:r w:rsidRPr="007A4CA1">
        <w:rPr>
          <w:rFonts w:ascii="Arial Narrow" w:hAnsi="Arial Narrow" w:cs="Calibri"/>
          <w:sz w:val="23"/>
          <w:szCs w:val="23"/>
        </w:rPr>
        <w:t>Službeni list Crne Gore", br. 001/17)</w:t>
      </w:r>
      <w:r w:rsidRPr="007A4CA1">
        <w:rPr>
          <w:rFonts w:ascii="Arial Narrow" w:eastAsia="Times New Roman" w:hAnsi="Arial Narrow" w:cs="Times New Roman"/>
          <w:color w:val="FF0000"/>
          <w:sz w:val="24"/>
          <w:szCs w:val="24"/>
        </w:rPr>
        <w:t xml:space="preserve"> </w:t>
      </w:r>
      <w:r w:rsidRPr="007A4CA1">
        <w:rPr>
          <w:rFonts w:ascii="Arial Narrow" w:eastAsia="Times New Roman" w:hAnsi="Arial Narrow" w:cs="Times New Roman"/>
          <w:sz w:val="24"/>
          <w:szCs w:val="24"/>
        </w:rPr>
        <w:t>donosi nova rješenja koja se odnose na razvoj usluga, još uvijek nije uspostavljen sistem licenciranja pružalaca usluga, te se može reći da je ovo područje još uvijek nedovoljno razvijeno.</w:t>
      </w:r>
    </w:p>
    <w:p w:rsidR="007A4CA1" w:rsidRPr="007A4CA1" w:rsidRDefault="007A4CA1" w:rsidP="007A4CA1">
      <w:pPr>
        <w:autoSpaceDE w:val="0"/>
        <w:autoSpaceDN w:val="0"/>
        <w:adjustRightInd w:val="0"/>
        <w:spacing w:after="0" w:line="240" w:lineRule="auto"/>
        <w:jc w:val="both"/>
        <w:rPr>
          <w:rFonts w:ascii="Arial Narrow" w:hAnsi="Arial Narrow" w:cs="Calibri"/>
          <w:sz w:val="23"/>
          <w:szCs w:val="23"/>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 dalje se uočava nedostatak servisa koji bi pružali savjetodavne usluge i podršku roditeljima i djeci vezano za pitanja roditeljskog staranja, odnose u porodici i poteškoće sa kojima se roditelji i djeca suočavaju tokom odrastanja. Važno je naglasiti da je neophodno uporedo sa razvojem usluga uspostaviti i sistem stručnog nadzora nad pružaocima usluga kako bi se osigurala zaštita interesa djetata.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Koncept zajedničkog starateljstva nije na zadovoljavjući način promovisan od strane stručnjaka. Evidentni su problemi vezani za boravak djeteta sa roditeljem sa kojim ne živi nakon prekida zajednice života roditelja. Značajan broj djece je izložen manipulativnim oblicima ponašanja roditelja, koji rezultiraju otuđenjem djeteta od roditelja i razvojem niza emocionalnih poteškoća djeteta, što je razlog za zabrinutost.</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autoSpaceDE w:val="0"/>
        <w:autoSpaceDN w:val="0"/>
        <w:adjustRightInd w:val="0"/>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Izmjenama i dopunama Porodičnog zakona </w:t>
      </w:r>
      <w:r w:rsidRPr="007A4CA1">
        <w:rPr>
          <w:rFonts w:ascii="Arial Narrow" w:hAnsi="Arial Narrow" w:cs="Calibri"/>
          <w:sz w:val="23"/>
          <w:szCs w:val="23"/>
        </w:rPr>
        <w:t>("Službeni list Crne Gore", br. 053/</w:t>
      </w:r>
      <w:r w:rsidRPr="007A4CA1">
        <w:rPr>
          <w:rFonts w:ascii="Arial" w:hAnsi="Arial" w:cs="Arial"/>
          <w:sz w:val="23"/>
          <w:szCs w:val="23"/>
        </w:rPr>
        <w:t>​</w:t>
      </w:r>
      <w:r w:rsidRPr="007A4CA1">
        <w:rPr>
          <w:rFonts w:ascii="Arial Narrow" w:hAnsi="Arial Narrow" w:cs="Calibri"/>
          <w:sz w:val="23"/>
          <w:szCs w:val="23"/>
        </w:rPr>
        <w:t>16),</w:t>
      </w:r>
      <w:r w:rsidRPr="007A4CA1">
        <w:rPr>
          <w:rFonts w:ascii="Arial Narrow" w:eastAsia="Times New Roman" w:hAnsi="Arial Narrow" w:cs="Times New Roman"/>
          <w:sz w:val="24"/>
          <w:szCs w:val="24"/>
        </w:rPr>
        <w:t xml:space="preserve"> ustanovljen je institut– lice za podršku, koji sud može, ako ocijeni da to zahtijeva intezitet konflikta između djeteta i roditelja ili između roditelja, postaviti djetetu i to: djetetu mlađem od 14 godina bez njegove saglasnosti, a djetetu starijem od 14 godina uz njegovu saglasnost. Preuranjeno je govoriti o efektima ovog instituta.</w:t>
      </w:r>
    </w:p>
    <w:p w:rsidR="007A4CA1" w:rsidRPr="007A4CA1" w:rsidRDefault="007A4CA1" w:rsidP="007A4CA1">
      <w:pPr>
        <w:autoSpaceDE w:val="0"/>
        <w:autoSpaceDN w:val="0"/>
        <w:adjustRightInd w:val="0"/>
        <w:spacing w:after="0" w:line="240" w:lineRule="auto"/>
        <w:jc w:val="both"/>
        <w:rPr>
          <w:rFonts w:ascii="Arial Narrow" w:hAnsi="Arial Narrow" w:cs="Calibri"/>
          <w:sz w:val="23"/>
          <w:szCs w:val="23"/>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lastRenderedPageBreak/>
        <w:t>Broj stručnjaka u Centrima za socijalni rad nije zadovoljavajući, a i njihove kompetencije treba kontinuitrano jačati kako bi mogli adekvatno odgovoriti na sve složenije zahtjeve i biti u stanju da primjenjuju nova zakonska rješenja. Zato je neophodno razvijati i osigurati dosljednu primjenu supervizije i stručnog nadzora.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autoSpaceDE w:val="0"/>
        <w:autoSpaceDN w:val="0"/>
        <w:adjustRightInd w:val="0"/>
        <w:spacing w:after="0" w:line="240" w:lineRule="auto"/>
        <w:jc w:val="both"/>
        <w:rPr>
          <w:rFonts w:ascii="Arial Narrow" w:eastAsia="Times New Roman" w:hAnsi="Arial Narrow" w:cs="Times New Roman"/>
          <w:color w:val="000000"/>
          <w:sz w:val="24"/>
          <w:szCs w:val="24"/>
        </w:rPr>
      </w:pPr>
      <w:r w:rsidRPr="007A4CA1">
        <w:rPr>
          <w:rFonts w:ascii="Arial Narrow" w:eastAsia="Times New Roman" w:hAnsi="Arial Narrow" w:cs="Times New Roman"/>
          <w:color w:val="000000"/>
          <w:sz w:val="24"/>
          <w:szCs w:val="24"/>
        </w:rPr>
        <w:t>Zakonom o socijalnoj i dječjoj zaštiti propisane su i novčane naknade porodicama – materijalno obezbjeđenje porodice, koje se nalaze u stanju socijalne potrebe, a koje trenutno iznose: za pojedinca 65,86 €; za porodicu sa dva člana 79,09 €; sa tri člana 94,92 €; sa četiri člana 112,07 €; sa pet i više članova 125,20 €; za lice koje je bilo dijete bez roditeljskog staranja 125,20 €.</w:t>
      </w:r>
      <w:r w:rsidRPr="007A4CA1">
        <w:rPr>
          <w:rFonts w:ascii="Arial Narrow" w:eastAsia="Times New Roman" w:hAnsi="Arial Narrow" w:cs="Times New Roman"/>
          <w:b/>
          <w:color w:val="000000"/>
          <w:sz w:val="24"/>
          <w:szCs w:val="24"/>
        </w:rPr>
        <w:t xml:space="preserve"> </w:t>
      </w:r>
      <w:r w:rsidRPr="007A4CA1">
        <w:rPr>
          <w:rFonts w:ascii="Arial Narrow" w:eastAsia="Times New Roman" w:hAnsi="Arial Narrow" w:cs="Times New Roman"/>
          <w:color w:val="000000"/>
          <w:sz w:val="24"/>
          <w:szCs w:val="24"/>
        </w:rPr>
        <w:t xml:space="preserve">Korisnici materijalnog obezbjeđenja mogu ostvarivati i pravo na dodatak za djecu koji iznosi za dijete: korisnika materijalnog obezbjeđenja 19,74 €; korisnika dodatka za njegu i pomoć 26,56 €; korisnika lične invalidnine 32,98 €; bez roditeljskog staranja 32,98 €; čiji je roditelj, usvojilac, staralac, hranitelj, odnosno lice kome je dijete povjereno na njegu, vaspitanje i obrazovanje kao korisnik materijalnog obezbjeđenja zasnovao radni odnos na osnovu sporazuma o aktivnom prevazilaženju nepovoljne socijalne situacije 19,74 €. Takođe, korisnici socijalno zaštitnih prava mogu ostvarivati i druga prava shodno navedenom Zakonu. </w:t>
      </w:r>
    </w:p>
    <w:p w:rsidR="007A4CA1" w:rsidRPr="007A4CA1" w:rsidRDefault="007A4CA1" w:rsidP="007A4CA1">
      <w:pPr>
        <w:spacing w:after="0" w:line="240" w:lineRule="auto"/>
        <w:jc w:val="both"/>
        <w:rPr>
          <w:rFonts w:ascii="Arial Narrow" w:eastAsia="Times New Roman" w:hAnsi="Arial Narrow" w:cs="Times New Roman"/>
          <w:b/>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sistem licenciranja usluga i pružalaca usluga u oblasti socijalne i dječje zaštite;</w:t>
            </w:r>
          </w:p>
          <w:p w:rsidR="007A4CA1" w:rsidRPr="007A4CA1" w:rsidRDefault="007A4CA1" w:rsidP="007A4CA1">
            <w:pPr>
              <w:numPr>
                <w:ilvl w:val="0"/>
                <w:numId w:val="2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jasne mehanizame za finasiranje usluga podrške djeci i porodici na nacionalnom i lokalnom nivou;</w:t>
            </w:r>
          </w:p>
          <w:p w:rsidR="007A4CA1" w:rsidRPr="007A4CA1" w:rsidRDefault="007A4CA1" w:rsidP="007A4CA1">
            <w:pPr>
              <w:numPr>
                <w:ilvl w:val="0"/>
                <w:numId w:val="2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Osnivati servise podrške na lokalnom nivou namijenjenih ranjivim kategorijama djece, kao i opštoj populaciji;</w:t>
            </w:r>
          </w:p>
          <w:p w:rsidR="007A4CA1" w:rsidRPr="007A4CA1" w:rsidRDefault="007A4CA1" w:rsidP="007A4CA1">
            <w:pPr>
              <w:numPr>
                <w:ilvl w:val="0"/>
                <w:numId w:val="2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 Osigurati kvalitetniju pomoć porodicama u riziku, kao prevenciju izdvajanja djece iz porodice;</w:t>
            </w:r>
          </w:p>
          <w:p w:rsidR="007A4CA1" w:rsidRPr="007A4CA1" w:rsidRDefault="007A4CA1" w:rsidP="007A4CA1">
            <w:pPr>
              <w:numPr>
                <w:ilvl w:val="0"/>
                <w:numId w:val="2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stalnu edukaciju stručnjaka u centrima za socijalni rad, superviziju i mehanizme praćenja kvaliteta njihovog rada;</w:t>
            </w:r>
          </w:p>
          <w:p w:rsidR="007A4CA1" w:rsidRPr="007A4CA1" w:rsidRDefault="007A4CA1" w:rsidP="007A4CA1">
            <w:pPr>
              <w:numPr>
                <w:ilvl w:val="0"/>
                <w:numId w:val="2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Unaprijediti sprovođenje postojećih mjera porodično pravne zaštite i ubrzati sudske postupke;</w:t>
            </w:r>
          </w:p>
          <w:p w:rsidR="007A4CA1" w:rsidRPr="007A4CA1" w:rsidRDefault="007A4CA1" w:rsidP="007A4CA1">
            <w:pPr>
              <w:numPr>
                <w:ilvl w:val="0"/>
                <w:numId w:val="2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Uskladiti socijalna davanja sa specifičnim potrebama djece iz najranjivijih porodica.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23" w:name="_Toc484780058"/>
      <w:r w:rsidRPr="007A4CA1">
        <w:rPr>
          <w:rFonts w:ascii="Arial Narrow" w:eastAsia="Times New Roman" w:hAnsi="Arial Narrow" w:cstheme="majorBidi"/>
          <w:b/>
          <w:sz w:val="28"/>
          <w:szCs w:val="26"/>
        </w:rPr>
        <w:t>5.2. Djeca lišena porodičnog okruženja</w:t>
      </w:r>
      <w:bookmarkEnd w:id="23"/>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42, 2010, Državni izvjestaj, stavovi 64-73)</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Zapaža se da je značajno smanjen broj djece u institucijama i da se sprovode aktivnosti vezane za popularizaciju hraniteljstva.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Zaštitnik redovno prati rad JU Dječji dom “Mladost” u Bijeloj u kojem su smještena djeca bez roditeljskog staranja. U ovoj ustanovi u junu 2017. godine boravilo je 87-ro djece (Ž - 35 i M – 52).</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U Bijelom Polju otvorena je mala grupna kuća u kojoj su smještena djeca bez roditeljskog staranja a koja su i djeca sa smetanjama u razvoju, a kojima je neophodna stručna pomoć u trajanju od 24 časa.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hAnsi="Arial Narrow"/>
          <w:sz w:val="24"/>
          <w:szCs w:val="24"/>
        </w:rPr>
        <w:t xml:space="preserve">Realizacija aktivnosti predviđenih </w:t>
      </w:r>
      <w:r w:rsidRPr="007A4CA1">
        <w:rPr>
          <w:rFonts w:ascii="Arial Narrow" w:hAnsi="Arial Narrow"/>
          <w:b/>
          <w:bCs/>
          <w:sz w:val="24"/>
          <w:szCs w:val="24"/>
        </w:rPr>
        <w:t xml:space="preserve">Strategijom razvoja hraniteljstva u Crnoj Gori 2012-2016 </w:t>
      </w:r>
      <w:r w:rsidRPr="007A4CA1">
        <w:rPr>
          <w:rFonts w:ascii="Arial Narrow" w:hAnsi="Arial Narrow"/>
          <w:bCs/>
          <w:sz w:val="24"/>
          <w:szCs w:val="24"/>
        </w:rPr>
        <w:t>je dala rezultate u smislu povećanja broja nesrodničkih hraniteljskih porodica, ali neophodno je i dalje raditi na jačanju ovog oblika zaštite djece.</w:t>
      </w:r>
      <w:r w:rsidRPr="007A4CA1">
        <w:rPr>
          <w:rFonts w:ascii="Arial Narrow" w:hAnsi="Arial Narrow"/>
          <w:b/>
          <w:bCs/>
          <w:sz w:val="24"/>
          <w:szCs w:val="24"/>
        </w:rPr>
        <w:t xml:space="preserve"> </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2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Unapređivati mehanizme nadzora nad radom institucija u kojima djeca borave;</w:t>
            </w:r>
          </w:p>
          <w:p w:rsidR="007A4CA1" w:rsidRPr="007A4CA1" w:rsidRDefault="007A4CA1" w:rsidP="007A4CA1">
            <w:pPr>
              <w:numPr>
                <w:ilvl w:val="0"/>
                <w:numId w:val="2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Usvojiti novu </w:t>
            </w:r>
            <w:r w:rsidRPr="007A4CA1">
              <w:rPr>
                <w:rFonts w:ascii="Arial Narrow" w:hAnsi="Arial Narrow"/>
                <w:bCs/>
                <w:sz w:val="24"/>
                <w:szCs w:val="24"/>
              </w:rPr>
              <w:t>Strategiju razvoja hraniteljstva u Crnoj Gori;</w:t>
            </w:r>
            <w:r w:rsidRPr="007A4CA1">
              <w:rPr>
                <w:rFonts w:ascii="Arial Narrow" w:eastAsia="Times New Roman" w:hAnsi="Arial Narrow" w:cs="Times New Roman"/>
                <w:sz w:val="24"/>
                <w:szCs w:val="24"/>
              </w:rPr>
              <w:t xml:space="preserve"> </w:t>
            </w:r>
          </w:p>
          <w:p w:rsidR="007A4CA1" w:rsidRPr="007A4CA1" w:rsidRDefault="007A4CA1" w:rsidP="007A4CA1">
            <w:pPr>
              <w:numPr>
                <w:ilvl w:val="0"/>
                <w:numId w:val="2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Nastaviti sa promocijom hraniteljstva kao alternativnog oblika zbrinjavanja djece bez roditeljskog staranja, te afirmisati profesionalizaciju hraniteljstva. </w:t>
            </w:r>
          </w:p>
          <w:p w:rsidR="007A4CA1" w:rsidRPr="007A4CA1" w:rsidRDefault="007A4CA1" w:rsidP="007A4CA1">
            <w:pPr>
              <w:numPr>
                <w:ilvl w:val="0"/>
                <w:numId w:val="2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Potrebno je revidirati mehanizam finasiranja usluge - male grupne kuće, kao bi se osigurala njena održivost;</w:t>
            </w:r>
          </w:p>
          <w:p w:rsidR="007A4CA1" w:rsidRPr="007A4CA1" w:rsidRDefault="007A4CA1" w:rsidP="007A4CA1">
            <w:pPr>
              <w:numPr>
                <w:ilvl w:val="0"/>
                <w:numId w:val="2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Potrebno je razvijati programe podrške porodice u cilju prevencije izdvajanja djece.</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24" w:name="_Toc484780059"/>
      <w:r w:rsidRPr="007A4CA1">
        <w:rPr>
          <w:rFonts w:ascii="Arial Narrow" w:eastAsia="Times New Roman" w:hAnsi="Arial Narrow" w:cstheme="majorBidi"/>
          <w:b/>
          <w:sz w:val="28"/>
          <w:szCs w:val="26"/>
        </w:rPr>
        <w:t>5.3. Usvojenje</w:t>
      </w:r>
      <w:bookmarkEnd w:id="24"/>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44, 2010, Državni izvjestaj, stav 74)</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Usvojenje je regulisano Porodicnim zakonom </w:t>
      </w:r>
      <w:r w:rsidRPr="007A4CA1">
        <w:rPr>
          <w:rFonts w:ascii="Arial Narrow" w:hAnsi="Arial Narrow" w:cs="Calibri"/>
          <w:sz w:val="23"/>
          <w:szCs w:val="23"/>
        </w:rPr>
        <w:t>("Službeni list Republike Crne Gore", br. 1/07</w:t>
      </w:r>
      <w:r w:rsidRPr="007A4CA1">
        <w:rPr>
          <w:rFonts w:ascii="Arial Narrow" w:eastAsia="Times New Roman" w:hAnsi="Arial Narrow" w:cs="Times New Roman"/>
          <w:sz w:val="24"/>
          <w:szCs w:val="24"/>
        </w:rPr>
        <w:t xml:space="preserve">) kao jedan posebni oblik porodično-pravne zaštite djece bez roditelja ili odgovarajućeg roditeljskog staranja, kojim se zasniva roditeljski, odnosno srodnički odnos. Izmjenama i dopunama Porodičnog zakona </w:t>
      </w:r>
      <w:r w:rsidRPr="007A4CA1">
        <w:rPr>
          <w:rFonts w:ascii="Arial Narrow" w:hAnsi="Arial Narrow" w:cs="Calibri"/>
          <w:sz w:val="23"/>
          <w:szCs w:val="23"/>
        </w:rPr>
        <w:t>("Službeni list Crne Gore", br. 53/</w:t>
      </w:r>
      <w:r w:rsidRPr="007A4CA1">
        <w:rPr>
          <w:rFonts w:ascii="Arial" w:hAnsi="Arial" w:cs="Arial"/>
          <w:sz w:val="23"/>
          <w:szCs w:val="23"/>
        </w:rPr>
        <w:t>​</w:t>
      </w:r>
      <w:r w:rsidRPr="007A4CA1">
        <w:rPr>
          <w:rFonts w:ascii="Arial Narrow" w:hAnsi="Arial Narrow" w:cs="Calibri"/>
          <w:sz w:val="23"/>
          <w:szCs w:val="23"/>
        </w:rPr>
        <w:t>16),</w:t>
      </w:r>
      <w:r w:rsidRPr="007A4CA1">
        <w:rPr>
          <w:rFonts w:ascii="Arial Narrow" w:eastAsia="Times New Roman" w:hAnsi="Arial Narrow" w:cs="Times New Roman"/>
          <w:color w:val="FF0000"/>
          <w:sz w:val="24"/>
          <w:szCs w:val="24"/>
        </w:rPr>
        <w:t xml:space="preserve"> </w:t>
      </w:r>
      <w:r w:rsidRPr="007A4CA1">
        <w:rPr>
          <w:rFonts w:ascii="Arial Narrow" w:eastAsia="Times New Roman" w:hAnsi="Arial Narrow" w:cs="Times New Roman"/>
          <w:sz w:val="24"/>
          <w:szCs w:val="24"/>
        </w:rPr>
        <w:t>koje se primjenjuju od 19. maja 2017. godine, propisano je da se dijete može usvojiti do navršene osamnaeste godine života, kao i da usvojenje može biti samo potpuno. Procjenu potencijalnih usvojioca, odnoso p</w:t>
      </w:r>
      <w:r w:rsidRPr="007A4CA1">
        <w:rPr>
          <w:rFonts w:ascii="Arial Narrow" w:eastAsia="Times New Roman" w:hAnsi="Arial Narrow" w:cs="Times New Roman"/>
          <w:bCs/>
          <w:sz w:val="24"/>
          <w:szCs w:val="24"/>
        </w:rPr>
        <w:t>odobnost za usvojenje utvrđuje stručni tim organa starateljstva, na osnovu sveobuhvatnog, multidisciplinarnog pristupa. Pored toga,</w:t>
      </w:r>
      <w:r w:rsidRPr="007A4CA1">
        <w:rPr>
          <w:rFonts w:ascii="Arial Narrow" w:eastAsia="Times New Roman" w:hAnsi="Arial Narrow" w:cs="Times New Roman"/>
          <w:sz w:val="24"/>
          <w:szCs w:val="24"/>
        </w:rPr>
        <w:t xml:space="preserve"> </w:t>
      </w:r>
      <w:r w:rsidRPr="007A4CA1">
        <w:rPr>
          <w:rFonts w:ascii="Arial Narrow" w:eastAsia="Times New Roman" w:hAnsi="Arial Narrow" w:cs="Times New Roman"/>
          <w:bCs/>
          <w:sz w:val="24"/>
          <w:szCs w:val="24"/>
        </w:rPr>
        <w:t>stručni tim vrši i pripremu budućih usvojitelja za usvojenje.</w:t>
      </w:r>
      <w:r w:rsidRPr="007A4CA1">
        <w:rPr>
          <w:rFonts w:ascii="Arial Narrow" w:eastAsia="Times New Roman" w:hAnsi="Arial Narrow" w:cs="Times New Roman"/>
          <w:sz w:val="24"/>
          <w:szCs w:val="24"/>
        </w:rPr>
        <w:t xml:space="preserve"> Međunarodno usvojenje </w:t>
      </w:r>
      <w:r w:rsidRPr="007A4CA1">
        <w:rPr>
          <w:rFonts w:ascii="Arial Narrow" w:eastAsia="Times New Roman" w:hAnsi="Arial Narrow" w:cs="Times New Roman"/>
          <w:sz w:val="24"/>
          <w:szCs w:val="24"/>
          <w:lang w:val="sr-Latn-RS"/>
        </w:rPr>
        <w:t>(</w:t>
      </w:r>
      <w:r w:rsidRPr="007A4CA1">
        <w:rPr>
          <w:rFonts w:ascii="Arial Narrow" w:eastAsia="Times New Roman" w:hAnsi="Arial Narrow" w:cs="Times New Roman"/>
          <w:sz w:val="24"/>
          <w:szCs w:val="24"/>
        </w:rPr>
        <w:t xml:space="preserve">usvojenje između stranog državljanina kao usvojioca i domaćeg državljanina kao usvojenika) može se zasnovati samo pod određenim uslovima, tj. uz saglasnost Ministarstva rada i socialnog staranja. Saglasnost se daje na osnovu mišljenja stručne komisije koja ima 5 članova i čine je lica koja imaju profesionalno iskustvo u radu sa djecom. Novina u Zakonu je da dijete, po dozvoli ministra rada i socijalnog staranja, izuzetno može usvojiti i lice koje samo živi ako za to postoje opravdani razlozi i ako je to u najboljem interesu djeteta. </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0"/>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Razvijati kampanje o podizanju svijesti javnosti o usvajanju djece sa smetnjama u razvoju i romske djece;</w:t>
            </w:r>
          </w:p>
          <w:p w:rsidR="007A4CA1" w:rsidRPr="007A4CA1" w:rsidRDefault="007A4CA1" w:rsidP="007A4CA1">
            <w:pPr>
              <w:numPr>
                <w:ilvl w:val="0"/>
                <w:numId w:val="30"/>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Obezbijediti odgovarajuću dugoročnu podršku usvojenom djetetu i usvojiocima; </w:t>
            </w:r>
          </w:p>
          <w:p w:rsidR="007A4CA1" w:rsidRPr="007A4CA1" w:rsidRDefault="007A4CA1" w:rsidP="007A4CA1">
            <w:pPr>
              <w:numPr>
                <w:ilvl w:val="0"/>
                <w:numId w:val="30"/>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Neophodno je osigurati mehanizam praćenja odnosa nakon usvojenja, kako bi se osigurao i zaštitio najbolji interes djeteta.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25" w:name="_Toc484780060"/>
      <w:r w:rsidRPr="007A4CA1">
        <w:rPr>
          <w:rFonts w:ascii="Arial Narrow" w:eastAsia="Times New Roman" w:hAnsi="Arial Narrow" w:cstheme="majorBidi"/>
          <w:b/>
          <w:sz w:val="28"/>
          <w:szCs w:val="26"/>
        </w:rPr>
        <w:t>5.4. Zlostavljanje i zanemarivanje</w:t>
      </w:r>
      <w:bookmarkEnd w:id="25"/>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46, 2010, Državni izvjestaj, stavovi 75-90)</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r w:rsidRPr="007A4CA1">
        <w:rPr>
          <w:rFonts w:ascii="Arial Narrow" w:eastAsia="Times New Roman" w:hAnsi="Arial Narrow" w:cs="Times New Roman"/>
          <w:bCs/>
          <w:sz w:val="24"/>
          <w:szCs w:val="24"/>
          <w:lang w:val="bs-Latn-BA"/>
        </w:rPr>
        <w:t xml:space="preserve">Vlada Crne Gore je početkom 2017. godine usvojila novu Strategiju prevencije i zaštite djece od nasilja za period 2017–2021. godine, a koja se odnositi na svu djecu uzrasta 0–18 godina, bez obzira na rod, državljanstvo, nivo funkcionalnih sposobnosti ili seksualnu orijentaciju. Strategijom je obuhvaćeno većinsko stanovništvo, kao i nacionalne manjine i imigranti. Startegijom su definisane mjere za intenziviranje rada na zaštiti i drugim vidovima pomoći djeci i adolescentima koji su bili izloženi nasilju ili seksualnom zlostavljanju. </w:t>
      </w: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r w:rsidRPr="007A4CA1">
        <w:rPr>
          <w:rFonts w:ascii="Arial Narrow" w:eastAsia="Times New Roman" w:hAnsi="Arial Narrow" w:cs="Times New Roman"/>
          <w:bCs/>
          <w:sz w:val="24"/>
          <w:szCs w:val="24"/>
          <w:lang w:val="bs-Latn-BA"/>
        </w:rPr>
        <w:t xml:space="preserve">I pored niza zakona, podzakonskih akata i strateških dokumenata koji su usvojeni i realizovani u prethodnom periodu, a kojima se definiše multisektorsko postupanje kao odgovor na nasilje, u praksi postoji problem </w:t>
      </w:r>
      <w:r w:rsidRPr="007A4CA1">
        <w:rPr>
          <w:rFonts w:ascii="Arial Narrow" w:eastAsia="Times New Roman" w:hAnsi="Arial Narrow" w:cs="Times New Roman"/>
          <w:bCs/>
          <w:sz w:val="24"/>
          <w:szCs w:val="24"/>
          <w:lang w:val="bs-Latn-BA"/>
        </w:rPr>
        <w:lastRenderedPageBreak/>
        <w:t>nedovoljne i neblagovremene multisektorske saradnje, kako na nacionalnom tako i na lokalnom nivou. Rad postojećih operativnih multidisciplinarnih timova potrebno je iznova usmjeriti i reorganizovati uz uključenje prepoznavanja i vrednovanja drugih načina multidisciplinarnog rada.</w:t>
      </w: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r w:rsidRPr="007A4CA1">
        <w:rPr>
          <w:rFonts w:ascii="Arial Narrow" w:eastAsia="Times New Roman" w:hAnsi="Arial Narrow" w:cs="Times New Roman"/>
          <w:bCs/>
          <w:sz w:val="24"/>
          <w:szCs w:val="24"/>
          <w:lang w:val="bs-Latn-BA"/>
        </w:rPr>
        <w:t xml:space="preserve">Uočava se i nedostatak profesionalnih kapaciteta da adekvatno odgovore na slučajeve nasilja nad djecom, posebno u oblasti prepoznavanja, zaštite i podrške. </w:t>
      </w: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r w:rsidRPr="007A4CA1">
        <w:rPr>
          <w:rFonts w:ascii="Arial Narrow" w:eastAsia="Times New Roman" w:hAnsi="Arial Narrow" w:cs="Times New Roman"/>
          <w:bCs/>
          <w:sz w:val="24"/>
          <w:szCs w:val="24"/>
          <w:lang w:val="bs-Latn-BA"/>
        </w:rPr>
        <w:t>U školama su i dalje prisutni najrazličitiji oblici i vrste nasilja. Iako je donijeto</w:t>
      </w:r>
      <w:r w:rsidRPr="007A4CA1">
        <w:rPr>
          <w:rFonts w:ascii="Arial Narrow" w:eastAsia="Times New Roman" w:hAnsi="Arial Narrow" w:cs="Times New Roman"/>
          <w:bCs/>
          <w:color w:val="FF0000"/>
          <w:sz w:val="24"/>
          <w:szCs w:val="24"/>
          <w:lang w:val="bs-Latn-BA"/>
        </w:rPr>
        <w:t xml:space="preserve"> </w:t>
      </w:r>
      <w:r w:rsidRPr="007A4CA1">
        <w:rPr>
          <w:rFonts w:ascii="Arial Narrow" w:eastAsia="Times New Roman" w:hAnsi="Arial Narrow" w:cs="Times New Roman"/>
          <w:bCs/>
          <w:sz w:val="24"/>
          <w:szCs w:val="24"/>
          <w:lang w:val="bs-Latn-BA"/>
        </w:rPr>
        <w:t>Uputstvo „Podjela odgovornosti i postupanje u cilju prevencije i u slučajevima pojave nasilja“ koje je obavezujuće za obrazovne ustanove u ovim slučajevima prisutne su različite prakse.</w:t>
      </w: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r w:rsidRPr="007A4CA1">
        <w:rPr>
          <w:rFonts w:ascii="Arial Narrow" w:eastAsia="Times New Roman" w:hAnsi="Arial Narrow" w:cs="Times New Roman"/>
          <w:bCs/>
          <w:sz w:val="24"/>
          <w:szCs w:val="24"/>
          <w:lang w:val="bs-Latn-BA"/>
        </w:rPr>
        <w:t>Jo</w:t>
      </w:r>
      <w:r w:rsidRPr="007A4CA1">
        <w:rPr>
          <w:rFonts w:ascii="Arial Narrow" w:eastAsia="Times New Roman" w:hAnsi="Arial Narrow" w:cs="Times New Roman"/>
          <w:bCs/>
          <w:sz w:val="24"/>
          <w:szCs w:val="24"/>
          <w:lang w:val="sr-Latn-ME"/>
        </w:rPr>
        <w:t xml:space="preserve">š uvijek </w:t>
      </w:r>
      <w:r w:rsidRPr="007A4CA1">
        <w:rPr>
          <w:rFonts w:ascii="Arial Narrow" w:eastAsia="Times New Roman" w:hAnsi="Arial Narrow" w:cs="Times New Roman"/>
          <w:bCs/>
          <w:sz w:val="24"/>
          <w:szCs w:val="24"/>
          <w:lang w:val="bs-Latn-BA"/>
        </w:rPr>
        <w:t>nije uspostavljen sveobuhvatan sistem psihosocijalne podrške i socijalne reintegracije i prevencije stigmatizacije djeteta žrtve.</w:t>
      </w:r>
    </w:p>
    <w:p w:rsidR="007A4CA1" w:rsidRPr="007A4CA1" w:rsidRDefault="007A4CA1" w:rsidP="007A4CA1">
      <w:pPr>
        <w:spacing w:after="0" w:line="240" w:lineRule="auto"/>
        <w:jc w:val="both"/>
        <w:rPr>
          <w:rFonts w:ascii="Arial Narrow" w:eastAsia="Times New Roman" w:hAnsi="Arial Narrow" w:cs="Times New Roman"/>
          <w:bCs/>
          <w:sz w:val="24"/>
          <w:szCs w:val="24"/>
          <w:lang w:val="bs-Latn-BA"/>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Zaštitnik je u saradnji sa Zlatnim savjetnicima 2016.godine organizovao Konferenciju </w:t>
      </w:r>
      <w:r w:rsidRPr="007A4CA1">
        <w:rPr>
          <w:rFonts w:ascii="Arial Narrow" w:eastAsia="Times New Roman" w:hAnsi="Arial Narrow" w:cs="Times New Roman"/>
          <w:b/>
          <w:i/>
          <w:sz w:val="24"/>
          <w:szCs w:val="24"/>
        </w:rPr>
        <w:t>Reci ne nasilju</w:t>
      </w:r>
      <w:r w:rsidRPr="007A4CA1">
        <w:rPr>
          <w:rFonts w:ascii="Arial Narrow" w:eastAsia="Times New Roman" w:hAnsi="Arial Narrow" w:cs="Times New Roman"/>
          <w:sz w:val="24"/>
          <w:szCs w:val="24"/>
        </w:rPr>
        <w:t xml:space="preserve"> na kojoj su djeca govorila o vršnjačkom nasilju i njegovim oblicima kao i načinima za njegovo prevazilaženje.</w:t>
      </w:r>
    </w:p>
    <w:p w:rsidR="007A4CA1" w:rsidRPr="007A4CA1" w:rsidRDefault="007A4CA1" w:rsidP="007A4CA1">
      <w:pPr>
        <w:spacing w:after="0" w:line="240" w:lineRule="auto"/>
        <w:jc w:val="both"/>
        <w:rPr>
          <w:rFonts w:ascii="Arial Narrow" w:eastAsia="Times New Roman" w:hAnsi="Arial Narrow" w:cs="Times New Roman"/>
          <w:color w:val="FF0000"/>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1"/>
              </w:numPr>
              <w:contextualSpacing/>
              <w:jc w:val="both"/>
              <w:rPr>
                <w:rFonts w:ascii="Arial Narrow" w:eastAsia="Times New Roman" w:hAnsi="Arial Narrow" w:cs="Times New Roman"/>
                <w:sz w:val="24"/>
                <w:szCs w:val="24"/>
              </w:rPr>
            </w:pPr>
            <w:r w:rsidRPr="007A4CA1">
              <w:rPr>
                <w:rFonts w:ascii="Arial Narrow" w:eastAsia="Times New Roman" w:hAnsi="Arial Narrow" w:cs="Arial"/>
                <w:sz w:val="24"/>
                <w:szCs w:val="24"/>
                <w:lang w:val="es-US"/>
              </w:rPr>
              <w:t xml:space="preserve">Dosljedno sprovoditi Strategiju prevencije i zaštite djece od nasilja 2017-2021, te osigurati mehanizme za redovnu procjenu ostvarenog napretka;                                      </w:t>
            </w:r>
          </w:p>
          <w:p w:rsidR="007A4CA1" w:rsidRPr="007A4CA1" w:rsidRDefault="007A4CA1" w:rsidP="007A4CA1">
            <w:pPr>
              <w:numPr>
                <w:ilvl w:val="0"/>
                <w:numId w:val="3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Razvijati smjernice multisektorske saradnje na nacionalnom i lokalnom nivou;</w:t>
            </w:r>
          </w:p>
          <w:p w:rsidR="007A4CA1" w:rsidRPr="007A4CA1" w:rsidRDefault="007A4CA1" w:rsidP="007A4CA1">
            <w:pPr>
              <w:numPr>
                <w:ilvl w:val="0"/>
                <w:numId w:val="3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mehanizme za podsticanje razvoja usluga psihosocijalne podrške i socijalne reintegracije;</w:t>
            </w:r>
          </w:p>
          <w:p w:rsidR="007A4CA1" w:rsidRPr="007A4CA1" w:rsidRDefault="007A4CA1" w:rsidP="007A4CA1">
            <w:pPr>
              <w:numPr>
                <w:ilvl w:val="0"/>
                <w:numId w:val="3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stalnim edukacijama profesionalaca koji rade za i sa djecom o odgovarajućem postupanju u slučajevima sumnje na zlostavljanje i zanemarivanje djece, na svim nivoima;</w:t>
            </w:r>
          </w:p>
          <w:p w:rsidR="007A4CA1" w:rsidRPr="007A4CA1" w:rsidRDefault="007A4CA1" w:rsidP="007A4CA1">
            <w:pPr>
              <w:numPr>
                <w:ilvl w:val="0"/>
                <w:numId w:val="3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Sprovoditi kontinuirane kampanje na nacionalnom i lokalnom nivou o podizanju svijesti javnosti o potrebi zaštite djece od zlostavljanja i zanemarivanja;</w:t>
            </w:r>
          </w:p>
          <w:p w:rsidR="007A4CA1" w:rsidRPr="007A4CA1" w:rsidRDefault="007A4CA1" w:rsidP="007A4CA1">
            <w:pPr>
              <w:numPr>
                <w:ilvl w:val="0"/>
                <w:numId w:val="3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lang w:val="sr-Latn-ME"/>
              </w:rPr>
              <w:t>Unaprijediti Uputstvo školama o postupanju u cilju prevencije u slučajevima pojave nasilja među djecom i mladima i kontinuirano edukovati nastavno i stručno osoblje o njegovoj primjeni;</w:t>
            </w:r>
          </w:p>
          <w:p w:rsidR="007A4CA1" w:rsidRPr="007A4CA1" w:rsidRDefault="007A4CA1" w:rsidP="007A4CA1">
            <w:pPr>
              <w:numPr>
                <w:ilvl w:val="0"/>
                <w:numId w:val="3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lang w:val="sr-Latn-ME"/>
              </w:rPr>
              <w:t>Kontinuirano unaprijeđivati uslove u institucijama u kojima borave djeca, posebno u ustanovi u kojoj borave djeca sa poremećajima u ponašanju uz obezbjeđenje dovoljnog broja edukovanih stručnjaka.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26" w:name="_Toc484780061"/>
      <w:r w:rsidRPr="007A4CA1">
        <w:rPr>
          <w:rFonts w:ascii="Arial Narrow" w:eastAsia="Times New Roman" w:hAnsi="Arial Narrow" w:cstheme="majorBidi"/>
          <w:b/>
          <w:sz w:val="32"/>
          <w:szCs w:val="32"/>
        </w:rPr>
        <w:t>VI OSNOVNO ZDRAVLJE I DOBROBIT</w:t>
      </w:r>
      <w:bookmarkEnd w:id="26"/>
    </w:p>
    <w:p w:rsidR="007A4CA1" w:rsidRPr="007A4CA1" w:rsidRDefault="007A4CA1" w:rsidP="007A4CA1">
      <w:pPr>
        <w:spacing w:after="0" w:line="240" w:lineRule="auto"/>
        <w:jc w:val="center"/>
        <w:rPr>
          <w:rFonts w:ascii="Arial Narrow" w:eastAsia="Times New Roman" w:hAnsi="Arial Narrow" w:cs="Times New Roman"/>
          <w:sz w:val="32"/>
          <w:szCs w:val="32"/>
          <w:highlight w:val="lightGray"/>
        </w:rPr>
      </w:pPr>
      <w:r w:rsidRPr="007A4CA1">
        <w:rPr>
          <w:rFonts w:ascii="Arial Narrow" w:eastAsia="Times New Roman" w:hAnsi="Arial Narrow" w:cs="Times New Roman"/>
          <w:b/>
          <w:sz w:val="32"/>
          <w:szCs w:val="32"/>
        </w:rPr>
        <w:t>(član 6; 18, st. 3; 23; 24; 26; 27, i st. 1-3 Konvencije)</w:t>
      </w:r>
    </w:p>
    <w:p w:rsidR="007A4CA1" w:rsidRPr="007A4CA1" w:rsidRDefault="007A4CA1" w:rsidP="007A4CA1">
      <w:pPr>
        <w:spacing w:after="0" w:line="240" w:lineRule="auto"/>
        <w:jc w:val="both"/>
        <w:rPr>
          <w:rFonts w:ascii="Arial Narrow" w:eastAsia="Times New Roman" w:hAnsi="Arial Narrow" w:cs="Times New Roman"/>
          <w:sz w:val="24"/>
          <w:szCs w:val="24"/>
          <w:highlight w:val="lightGray"/>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27" w:name="_Toc484780062"/>
      <w:r w:rsidRPr="007A4CA1">
        <w:rPr>
          <w:rFonts w:ascii="Arial Narrow" w:eastAsia="Times New Roman" w:hAnsi="Arial Narrow" w:cstheme="majorBidi"/>
          <w:b/>
          <w:sz w:val="28"/>
          <w:szCs w:val="26"/>
        </w:rPr>
        <w:t>6.1. Djeca sa smetnjama i teškoćama u razvoju</w:t>
      </w:r>
      <w:bookmarkEnd w:id="27"/>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48, 2010, Državni izvjestaj, stavovi 91-102)</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izvještajnom periodu dosta je rađeno na unapređenju položaja djece sa smetnjama u razvoju, ali ostvareno nije dostiglo željeni, a ni mogući nivo. Sprovedene kampanje su doprinijele podizanju svijesti javnosti o potrebama djece sa smetnjama u razvoju i suzbijanju negativnih stavova u odnosu na ovu djecu, ali još uvijek postoji prostor za kontinuirano djelovanje u ovom pravcu. Lokalna samouprava u Herceg Novom u nastojanju da obezbijedi prostor za rad JU Dnevni centar za djecu sa smetnjama u razvoju nailazila je na problem saglasnosti stanovnika da u njihovoj neposrednoj blizini bude ova vrsta ustanove.</w:t>
      </w: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lastRenderedPageBreak/>
        <w:t>I pored činjenice da su u prethodnom periodu uspostavljene različite sektorske baze koje uključuju i djecu sa smetnjama u razvoju, još uvijek ne postoji jedinstvena baza podataka. U pojedinim izvještajima se naglašava da postoji jedan broj djece sa smetnjama u razvoju koja još uvijek nijesu obuhvaćena nikakvim evidencijama, a što se objašnjava nespremnošću porodica da se suoče sa ovom činjenicom.</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Iako se čine napori u pravcu deinstitucionalizacije, zapaža se da još uvijek nijesu uspostavljene adekvatne usluge na lokalnom nivou. Nejasnoće u pogledu finasiranja novih usluga doprinose ovakvom stanju. Čine se napori na uspostavljanju dnevnih centara za djecu sa smetnjama u razvoju, ali još uvijek ne postoje dnevni centri u svim lokalnim zajednicama.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Evidentno je da više djece sa smetnjama u razvoju pohađa obrazovne ustanove (predškolske, osnovnoškoloske). Međutim, prisutni su problemi koji se tiču arhitektonskih barijera, nedovoljne uključenosti roditelja u kreiranju individualnih planova, nepostojanja prilagođenih udžbenika. Primjećuje se i nedostatak stručnih kadrova (logopeda, defektologa, tiflopedagoga, oligofrenolozga idr.) koji bi mogli adekvatno odgovoriti potrebama djece sa smetnjama u razvoju u zdravstvenim ustanovama, obrazovnim ustanovama, ustanovama socijalne i dječje zaštite. Još uvijek nije adekvatno riješeno pitanje asistenata u nastavi. Naime, dosadašnjim zakonskim rješenjem bila je propisana mogućnost angažovanja asistenata u nastavi kao tehničke pomoći u pogledu obezbjeđenje pristupa obrazovanju i obrazovnom postignuću, a o čemu je odluku donosila Komisija za usmjeravanje. Asistent je obavljao tehničku pomoć po pravilu volonterski. U praksi je dolazilo do problema u angažovanju asistenata, a što se odražavalo na postignuća djece, pa je Zaštitnik uputio inicijativu za izmjenu Zakona o obrazovanju i vaspitanju djece sa posebnim obrazovnim potrebama (</w:t>
      </w:r>
      <w:r w:rsidRPr="007A4CA1">
        <w:rPr>
          <w:rFonts w:ascii="Arial Narrow" w:hAnsi="Arial Narrow" w:cs="Calibri"/>
          <w:sz w:val="23"/>
          <w:szCs w:val="23"/>
        </w:rPr>
        <w:t>"Službeni list Republike Crne Gore", br. 80/04, "Službeni list Crne Gore", br.</w:t>
      </w:r>
      <w:r w:rsidRPr="007A4CA1">
        <w:rPr>
          <w:rFonts w:ascii="Arial Narrow" w:eastAsia="Times New Roman" w:hAnsi="Arial Narrow" w:cs="Times New Roman"/>
          <w:sz w:val="24"/>
          <w:szCs w:val="24"/>
        </w:rPr>
        <w:t xml:space="preserve"> </w:t>
      </w:r>
      <w:r w:rsidRPr="007A4CA1">
        <w:rPr>
          <w:rFonts w:ascii="Arial Narrow" w:hAnsi="Arial Narrow" w:cs="Calibri"/>
          <w:sz w:val="23"/>
          <w:szCs w:val="23"/>
        </w:rPr>
        <w:t>45/10</w:t>
      </w:r>
      <w:r w:rsidRPr="007A4CA1">
        <w:rPr>
          <w:rFonts w:ascii="Arial Narrow" w:eastAsia="Times New Roman" w:hAnsi="Arial Narrow" w:cs="Times New Roman"/>
          <w:sz w:val="24"/>
          <w:szCs w:val="24"/>
        </w:rPr>
        <w:t>) u smislu da angažovanje asistenata bude obavezujuće za djecu kojoj je ta pomoć neophodna.</w:t>
      </w:r>
    </w:p>
    <w:p w:rsidR="007A4CA1" w:rsidRPr="007A4CA1" w:rsidRDefault="007A4CA1" w:rsidP="007A4CA1">
      <w:pPr>
        <w:spacing w:after="0" w:line="240" w:lineRule="auto"/>
        <w:jc w:val="both"/>
        <w:rPr>
          <w:rFonts w:ascii="Arial Narrow" w:eastAsia="Times New Roman" w:hAnsi="Arial Narrow" w:cs="Times New Roman"/>
          <w:color w:val="FF0000"/>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Sistem rane intervencije i podrške djeci sa smetnjama u razvoju nije uspostavljen, najčešći uzrast kada se evidentiraju razvojne smetnje je polazak u školu.</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Međusektorska saradnja nije adekvatna u evidentiranju, prosljeđivanju informacija i prihvatanju odgovornosti za probleme koji se pojavljuju i postoje administartivne barijere u omogućavanju korišćenja usluga koje su razvijene u okviru različitih sistema, te različitih lokalnih uprava.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Vlada Crne Gore je septembra 2016. godine donijela novu Strategiju za integraciju lica sa invaliditetom 2016-2020.</w:t>
      </w: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 </w:t>
      </w: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kontinuiranim kampanjama na podizanju svijesti javnosti o suzbijanju negativnih stavova društva prema djeci sa smetnjama u razvoju;</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Ustanoviti jedinstvenu bazu podataka o djeci sa smetnjama u razvoju a koja bi poslužila kao osnova za definisanje strateških prioriteta i usluga kako bi se na najbolji način odgovorilo potrebama ove djece;</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Revidirati postojeći koncept usmjeravanja u obrazovne programe</w:t>
            </w:r>
            <w:r w:rsidRPr="007A4CA1">
              <w:rPr>
                <w:rFonts w:ascii="Arial Narrow" w:eastAsia="Times New Roman" w:hAnsi="Arial Narrow" w:cs="Times New Roman"/>
                <w:color w:val="FF0000"/>
                <w:sz w:val="24"/>
                <w:szCs w:val="24"/>
              </w:rPr>
              <w:t xml:space="preserve"> </w:t>
            </w:r>
            <w:r w:rsidRPr="007A4CA1">
              <w:rPr>
                <w:rFonts w:ascii="Arial Narrow" w:eastAsia="Times New Roman" w:hAnsi="Arial Narrow" w:cs="Times New Roman"/>
                <w:sz w:val="24"/>
                <w:szCs w:val="24"/>
              </w:rPr>
              <w:t>kako bi se osigurala rana identifikacija i razvili programi podrške sa ciljem ranog razvoja te potpune inkluzije;</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uspostavljanjem neophodnih usluga namijenjenih djeci sa smetnjama u razvoju, uključujući i grupe za podršku roditeljima, uz jasno definisanje načina finansiranja;</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Ukloniti fizičke barijere u svim javnim ustanovama koje se bave pružanjem usluga za djecu u svim sektorima i na svim nivoima;</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lastRenderedPageBreak/>
              <w:t>Nastaviti sa aktivnostima prilagođavanja obrazovnih ustanova potrebama djece sa smetnjama u razvoju uz obezbjeđenje neophodnih udžbenika i drugih didaktičkih sredstava, kao i dovoljnog broja asistenata u nastavi;</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kontinuirano učešće roditelja i djece u kreiranju i realizaciji individualnih planova;</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stalnu podršku nastavnom osoblju u cilju realizacije individualnih planova uz stalno praćenje ostvarenih rezultata;</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nedostajući stručni kadar (logopedi, defektolozi, tiflopedagozi, oligofrenolozi i dr.), kao i nastaviti sa stalnim edukacijama postojećeg kadra;</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jasne mehanizme međusektorske saradnje kao bi se omogućila rana intervencija i obezbijedila adekvatna podrška djeci sa smetnjama u razvoju;</w:t>
            </w:r>
          </w:p>
          <w:p w:rsidR="007A4CA1" w:rsidRPr="007A4CA1" w:rsidRDefault="007A4CA1" w:rsidP="007A4CA1">
            <w:pPr>
              <w:numPr>
                <w:ilvl w:val="0"/>
                <w:numId w:val="3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Obezbijediti dosljednu primjenu Strategije za integraciju lica sa invaliditetom 2016-2020, </w:t>
            </w:r>
            <w:r w:rsidRPr="007A4CA1">
              <w:rPr>
                <w:rFonts w:ascii="Arial Narrow" w:eastAsia="Times New Roman" w:hAnsi="Arial Narrow" w:cs="Arial"/>
                <w:sz w:val="24"/>
                <w:szCs w:val="24"/>
                <w:lang w:val="es-US"/>
              </w:rPr>
              <w:t xml:space="preserve">te osigurati mehanizme za redovnu procjenu ostvarenog napretka.                   </w:t>
            </w:r>
          </w:p>
          <w:p w:rsidR="007A4CA1" w:rsidRPr="007A4CA1" w:rsidRDefault="007A4CA1" w:rsidP="007A4CA1">
            <w:pPr>
              <w:ind w:left="720"/>
              <w:contextualSpacing/>
              <w:jc w:val="both"/>
              <w:rPr>
                <w:rFonts w:ascii="Arial Narrow" w:eastAsia="Times New Roman" w:hAnsi="Arial Narrow" w:cs="Times New Roman"/>
                <w:sz w:val="24"/>
                <w:szCs w:val="24"/>
              </w:rPr>
            </w:pPr>
            <w:r w:rsidRPr="007A4CA1">
              <w:rPr>
                <w:rFonts w:ascii="Arial Narrow" w:eastAsia="Times New Roman" w:hAnsi="Arial Narrow" w:cs="Arial"/>
                <w:sz w:val="24"/>
                <w:szCs w:val="24"/>
                <w:lang w:val="es-US"/>
              </w:rPr>
              <w:t xml:space="preserve">                   </w:t>
            </w: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28" w:name="_Toc484780063"/>
      <w:r w:rsidRPr="007A4CA1">
        <w:rPr>
          <w:rFonts w:ascii="Arial Narrow" w:eastAsia="Times New Roman" w:hAnsi="Arial Narrow" w:cstheme="majorBidi"/>
          <w:b/>
          <w:sz w:val="28"/>
          <w:szCs w:val="26"/>
        </w:rPr>
        <w:t>6.2. Zdravlje i zdravstvene usluge</w:t>
      </w:r>
      <w:bookmarkEnd w:id="28"/>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50, 2010, Državni izvjestaj, stavovi 103-117)</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izvještajnom periodu evidentni su napori države da obezbijedi u svakom smislu dostupnu i pristupačnu, integrisanu i kvalitetnu zdravstvenu zaštitu, razvoj i jačanje kadrova u zdravstvu, postavljanje građanina u centar sistema zdravstvene zaštite, kao i održivost finansiranja. Uočavaju se napori na kreiranju minimuma standarda u vezi sa zdravstvenom zaštitom djece, ali i dalje postoji potreba za unapređenje sistema.</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Zaštitnik zapaža da usluge zdravstvene zaštite nijesu podjednako dostupne svoj djeci, da i dalje nedostaju pojedini stručnjaci za rad sa djecom, kao i da je nedovoljan broj stručnjaka u odnosu na potrebe, da se javljaju problemi koji se odnose na liječenje u inostranstvu uključujući i troškove boravka, da pojedini objekti nijesu pristupačni djeci sa smetnjama u razvoju, da nije obezbijeđena adekvatna zaštita mentalnog zdravlja djece i da je i dalje prisutan problem stomatološke zaštite djece sa smetnjama u razvoju.</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I pored napora na unaprijeđenju stanja u porodilištima još uvijek postoji potreba za podizanjem kvaliteta njege majke i novorođenčadi. Ne postoje individualne pripremne i porođajne sobe u većini bolnica, neke od bolničkih soba su uske i pretrpane čime se otežava održavanje lične higijene a što predstavlja i prepreku za praksu zajedničkog smještaja majki i beba i dojenja </w:t>
      </w:r>
      <w:proofErr w:type="gramStart"/>
      <w:r w:rsidRPr="007A4CA1">
        <w:rPr>
          <w:rFonts w:ascii="Arial Narrow" w:eastAsia="Times New Roman" w:hAnsi="Arial Narrow" w:cs="Times New Roman"/>
          <w:sz w:val="24"/>
          <w:szCs w:val="24"/>
        </w:rPr>
        <w:t>na”zahtjev</w:t>
      </w:r>
      <w:proofErr w:type="gramEnd"/>
      <w:r w:rsidRPr="007A4CA1">
        <w:rPr>
          <w:rFonts w:ascii="Arial Narrow" w:eastAsia="Times New Roman" w:hAnsi="Arial Narrow" w:cs="Times New Roman"/>
          <w:sz w:val="24"/>
          <w:szCs w:val="24"/>
        </w:rPr>
        <w:t>”, a takođe još uvijek nijesu razrađene procedure za postupanje u pojedinim situacijama, kao i načini vođenja različitih tipova evidencija što bi moglo značajno unaprijediti stanje.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Uprkos zakonskim zabranama djeca i mladi kupuju i konzumiraju alkoholna pi</w:t>
      </w:r>
      <w:r w:rsidRPr="007A4CA1">
        <w:rPr>
          <w:rFonts w:ascii="Arial Narrow" w:eastAsia="Times New Roman" w:hAnsi="Arial Narrow" w:cs="Times New Roman"/>
          <w:sz w:val="24"/>
          <w:szCs w:val="24"/>
          <w:lang w:val="sr-Latn-ME"/>
        </w:rPr>
        <w:t>ć</w:t>
      </w:r>
      <w:r w:rsidRPr="007A4CA1">
        <w:rPr>
          <w:rFonts w:ascii="Arial Narrow" w:eastAsia="Times New Roman" w:hAnsi="Arial Narrow" w:cs="Times New Roman"/>
          <w:sz w:val="24"/>
          <w:szCs w:val="24"/>
        </w:rPr>
        <w:t>a i duvanske proizvode.</w:t>
      </w:r>
    </w:p>
    <w:p w:rsidR="007A4CA1" w:rsidRPr="007A4CA1" w:rsidRDefault="007A4CA1" w:rsidP="007A4CA1">
      <w:pPr>
        <w:spacing w:after="0" w:line="240" w:lineRule="auto"/>
        <w:jc w:val="both"/>
        <w:rPr>
          <w:rFonts w:ascii="Arial Narrow" w:eastAsia="Times New Roman" w:hAnsi="Arial Narrow" w:cs="Times New Roman"/>
          <w:b/>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aktivnostima uspostavljanja dostupne zdravstvene zaštite svoj djeci na čitavoj teritoriji Crne Gore;</w:t>
            </w:r>
          </w:p>
          <w:p w:rsidR="007A4CA1" w:rsidRPr="007A4CA1" w:rsidRDefault="007A4CA1" w:rsidP="007A4CA1">
            <w:pPr>
              <w:numPr>
                <w:ilvl w:val="0"/>
                <w:numId w:val="3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aktivnostima na poboljšanju opremljenosti, održavanja higijene i bezbjednosti u svim prostorima zdravstvenih ustanova, a naročito u porodilištima;</w:t>
            </w:r>
          </w:p>
          <w:p w:rsidR="007A4CA1" w:rsidRPr="007A4CA1" w:rsidRDefault="007A4CA1" w:rsidP="007A4CA1">
            <w:pPr>
              <w:numPr>
                <w:ilvl w:val="0"/>
                <w:numId w:val="3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pristupačnost svih zdravstvenih ustanova djeci sa smetnjama u razvoju;</w:t>
            </w:r>
          </w:p>
          <w:p w:rsidR="007A4CA1" w:rsidRPr="007A4CA1" w:rsidRDefault="007A4CA1" w:rsidP="007A4CA1">
            <w:pPr>
              <w:numPr>
                <w:ilvl w:val="0"/>
                <w:numId w:val="3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dovoljan broj stručnjaka koji se bave zaštitom zdravlja djece;</w:t>
            </w:r>
          </w:p>
          <w:p w:rsidR="007A4CA1" w:rsidRPr="007A4CA1" w:rsidRDefault="007A4CA1" w:rsidP="007A4CA1">
            <w:pPr>
              <w:numPr>
                <w:ilvl w:val="0"/>
                <w:numId w:val="3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adekvatnu zaštitu mentalnog zdravlja djece i adolescenata uključujući promovisanje mentalnog zdravlja, ambulantske i bolničke usluge za djecu i adolescente, te programe podrške porodicama sa djecom i adolescentima koji su u riziku;</w:t>
            </w:r>
          </w:p>
          <w:p w:rsidR="007A4CA1" w:rsidRPr="007A4CA1" w:rsidRDefault="007A4CA1" w:rsidP="007A4CA1">
            <w:pPr>
              <w:numPr>
                <w:ilvl w:val="0"/>
                <w:numId w:val="3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lastRenderedPageBreak/>
              <w:t>Obezbijediti dosljedno sankcionisanje prodaje alkoholnih pića i duvanskih proizvoda djeci;</w:t>
            </w:r>
          </w:p>
          <w:p w:rsidR="007A4CA1" w:rsidRPr="007A4CA1" w:rsidRDefault="007A4CA1" w:rsidP="007A4CA1">
            <w:pPr>
              <w:numPr>
                <w:ilvl w:val="0"/>
                <w:numId w:val="3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edukativnim kampanjama o štetnosti upotrebe psihoaktivnih supstanci, alkohola i duvana.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29" w:name="_Toc484780064"/>
      <w:r w:rsidRPr="007A4CA1">
        <w:rPr>
          <w:rFonts w:ascii="Arial Narrow" w:eastAsia="Times New Roman" w:hAnsi="Arial Narrow" w:cstheme="majorBidi"/>
          <w:b/>
          <w:sz w:val="28"/>
          <w:szCs w:val="26"/>
        </w:rPr>
        <w:t>6.3. Dojenje</w:t>
      </w:r>
      <w:bookmarkEnd w:id="29"/>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52, 2010, Državni izvjestaj, stav 118)</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izvještajnom periodu sprovođene su aktivnosti na promovisanju značaja dojenja, ali još uvijek nije dostignuto planirano povećanje stope dojenja. Naime, kao jedan od problema prepoznato je nedovoljno promovisanje ranog i isključivog dojenja. Hranjenje bočicom je i dalje široko rasprostranjena praksa.</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Potrebno je kontinuirano raditi na podizanju svijeti o značaju dojenja;</w:t>
            </w:r>
          </w:p>
          <w:p w:rsidR="007A4CA1" w:rsidRPr="007A4CA1" w:rsidRDefault="007A4CA1" w:rsidP="007A4CA1">
            <w:pPr>
              <w:numPr>
                <w:ilvl w:val="0"/>
                <w:numId w:val="3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obukama sestara i babica, pedijatara i patronažnih sestara kao bi se savjeti koje pružaju majkama u vezi dojenja uskladili sa preporukama SZO;</w:t>
            </w:r>
          </w:p>
          <w:p w:rsidR="007A4CA1" w:rsidRPr="007A4CA1" w:rsidRDefault="007A4CA1" w:rsidP="007A4CA1">
            <w:pPr>
              <w:numPr>
                <w:ilvl w:val="0"/>
                <w:numId w:val="3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Raditi na osnaživanju savjetovališta i grupa za podršku dojenju.</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0" w:name="_Toc484780065"/>
      <w:r w:rsidRPr="007A4CA1">
        <w:rPr>
          <w:rFonts w:ascii="Arial Narrow" w:eastAsia="Times New Roman" w:hAnsi="Arial Narrow" w:cstheme="majorBidi"/>
          <w:b/>
          <w:sz w:val="28"/>
          <w:szCs w:val="26"/>
        </w:rPr>
        <w:t>6.4. Zdravlje adolescenata</w:t>
      </w:r>
      <w:bookmarkEnd w:id="30"/>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54, 2010, Državni izvjestaj, stavovi 119-123)</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 pored aktivnosti koje država preduzima u cilju poboljšanja zdravstvene zaštite adolescenata postoji potreba za daljim unapređenjem. Naime, mentalnom zdravlju djece i mladih, kao važnoj komponenti ukupnog zdravlja ne posvećuje se potrebna pažnja – nema dovoljno psihijatara i psihologa specijalizovanih za rad sa djecom i mladima, a takođe ne postoje kapaciteti za liječenje mentalnih problema djece i mladih.</w:t>
      </w:r>
    </w:p>
    <w:p w:rsidR="007A4CA1" w:rsidRPr="007A4CA1" w:rsidRDefault="007A4CA1" w:rsidP="007A4CA1">
      <w:pPr>
        <w:spacing w:after="0" w:line="240" w:lineRule="auto"/>
        <w:jc w:val="both"/>
        <w:rPr>
          <w:rFonts w:ascii="Arial Narrow" w:eastAsia="Times New Roman" w:hAnsi="Arial Narrow" w:cs="Times New Roman"/>
          <w:b/>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Pojačati napore na obezbjeđenju adekvatne zdravstvene zaštite mentalnog zdravlja adolescenata;</w:t>
            </w:r>
          </w:p>
          <w:p w:rsidR="007A4CA1" w:rsidRPr="007A4CA1" w:rsidRDefault="007A4CA1" w:rsidP="007A4CA1">
            <w:pPr>
              <w:numPr>
                <w:ilvl w:val="0"/>
                <w:numId w:val="3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Intezivirati sprovođenje edukativnih programa koji se odnose na reproduktivno zdravlje sa posebnim osvrtom na obrazovne ustanove;</w:t>
            </w:r>
          </w:p>
          <w:p w:rsidR="007A4CA1" w:rsidRPr="007A4CA1" w:rsidRDefault="007A4CA1" w:rsidP="007A4CA1">
            <w:pPr>
              <w:numPr>
                <w:ilvl w:val="0"/>
                <w:numId w:val="3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Razvijati programe podrške majkama tinejdžerkama i njihovoj djeci;</w:t>
            </w:r>
          </w:p>
          <w:p w:rsidR="007A4CA1" w:rsidRPr="007A4CA1" w:rsidRDefault="007A4CA1" w:rsidP="007A4CA1">
            <w:pPr>
              <w:numPr>
                <w:ilvl w:val="0"/>
                <w:numId w:val="3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Dosljedno sprovoditi strategije koje se odnose na prevenciju štetne upotrebe alkohola i sprečavanje zloupotrebe droga;</w:t>
            </w:r>
          </w:p>
          <w:p w:rsidR="007A4CA1" w:rsidRPr="007A4CA1" w:rsidRDefault="007A4CA1" w:rsidP="007A4CA1">
            <w:pPr>
              <w:numPr>
                <w:ilvl w:val="0"/>
                <w:numId w:val="3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Promovisati zdrave stilove života na svim nivoima.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1" w:name="_Toc484780066"/>
      <w:r w:rsidRPr="007A4CA1">
        <w:rPr>
          <w:rFonts w:ascii="Arial Narrow" w:eastAsia="Times New Roman" w:hAnsi="Arial Narrow" w:cstheme="majorBidi"/>
          <w:b/>
          <w:sz w:val="28"/>
          <w:szCs w:val="26"/>
        </w:rPr>
        <w:t>6.5. Hiv/Aids</w:t>
      </w:r>
      <w:bookmarkEnd w:id="31"/>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56, 2010, Državni izvjestaj, stavovi 124 i 125)</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Crna Gora je zemlja sa niskom prevalencom (trenutna stopa incidence infekcije 0,017%). U cilju održavanja ovakvog stanja kontinuirano se prate trendovi u regionu i preduzimaju preventivne aktivnosti među ključnim ciljnim grupama kako bi se obezbijedio uspješan odgovor u ranoj fazi i izbjegle posledice u medicinskom, socijalnom i ekonomskom smislu.  </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tbl>
      <w:tblPr>
        <w:tblStyle w:val="TableGrid"/>
        <w:tblW w:w="0" w:type="auto"/>
        <w:tblLook w:val="04A0" w:firstRow="1" w:lastRow="0" w:firstColumn="1" w:lastColumn="0" w:noHBand="0" w:noVBand="1"/>
      </w:tblPr>
      <w:tblGrid>
        <w:gridCol w:w="9638"/>
      </w:tblGrid>
      <w:tr w:rsidR="007A4CA1" w:rsidRPr="007A4CA1" w:rsidTr="00396825">
        <w:tc>
          <w:tcPr>
            <w:tcW w:w="9638"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Dosljedno sprovoditi aktivnosti definisane strateškim dokumentom Nacionalnom startegijom za boprbu protiv HIV/AIDS 2015-2020;</w:t>
            </w:r>
          </w:p>
          <w:p w:rsidR="007A4CA1" w:rsidRPr="007A4CA1" w:rsidRDefault="007A4CA1" w:rsidP="007A4CA1">
            <w:pPr>
              <w:numPr>
                <w:ilvl w:val="0"/>
                <w:numId w:val="3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finansijska sredstva za realizaciju programa prevencije koje realizuju NVO;</w:t>
            </w:r>
          </w:p>
          <w:p w:rsidR="007A4CA1" w:rsidRPr="007A4CA1" w:rsidRDefault="007A4CA1" w:rsidP="007A4CA1">
            <w:pPr>
              <w:numPr>
                <w:ilvl w:val="0"/>
                <w:numId w:val="36"/>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Sprovoditi edukativne programe o polno prenosivim infekcijama, uključujući HIV/AIDS, posebno u školama.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2" w:name="_Toc484780067"/>
      <w:r w:rsidRPr="007A4CA1">
        <w:rPr>
          <w:rFonts w:ascii="Arial Narrow" w:eastAsia="Times New Roman" w:hAnsi="Arial Narrow" w:cstheme="majorBidi"/>
          <w:b/>
          <w:sz w:val="28"/>
          <w:szCs w:val="26"/>
        </w:rPr>
        <w:t>6.6. Standard života</w:t>
      </w:r>
      <w:bookmarkEnd w:id="32"/>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58, 2010, Državni izvjestaj, stavovi 126-128)</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Država preduzima kontinuirane aktivnosti u cilju poboljšanja socijalno ekonomskog položaja građana, a posebno onih koji imaju potrebu za uslugama i podrškom u oblasti socijalne i dječje zaštite. Evidentno je da još uvijek nije uspostavljen sistem licenciranja navedenih usluga kao i njihovih pružalaca. Dominantno sistem socijalne zaštite se finansira iz Buždeta CG, a i lokalne samouprave shodno svojim mogućnostima, obezbjeđuju podršku licima koja se nalaze u stanju socijalne potrebe.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Ne postoje precizni podaci o rasprostranjenosti siromaštva u Crnoj Gori na osnovu kojih bi se mogle praviti procjene o broju socijalno ugroženog stanovništva. Naime, primjena novih odredbi Zakona o socijalnoj i dječjoj zaštiti dovela je do smanjenja broja korisnika prava na materijalno obezbjeđenje porodice, a što ne odražava realnu sliku.</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Prosječna zarada u Crnoj Gori, prema podacima MONSTATA, za april 2017. godine iznosila je 512€. Minimalna potrošačka korpa za četvoročlano domaćinstvo u decembru 2015. godine iznosila je 806,80€ i ne postoje noviji podaci jer je u toku revidiranje metodologije za izračunavanje minimalne potrošačke korpe.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Izražen je problem nezaposlenosti, a zabrinjava činjenica de je sve više mladih ljudi sa visokim obrazovanjem nezaposleno. Stopa nezaposlenosti u Crnoj Gori, prema podacima Zavoda za zapošljavanje CG, za maj 2017. godine iznosila 22,39% (51.944 lica).</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Ustanoviti obavezu sprovođenja istraživanja i objavljivanja rezultata o siromaštvu, a koji bi poslužili kao osnova za kvalitetno planiranje programa podrške porodicama sa djecom koja se nalaze u zoni siromaštva;</w:t>
            </w:r>
          </w:p>
          <w:p w:rsidR="007A4CA1" w:rsidRPr="007A4CA1" w:rsidRDefault="007A4CA1" w:rsidP="007A4CA1">
            <w:pPr>
              <w:numPr>
                <w:ilvl w:val="0"/>
                <w:numId w:val="3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sistem licenciranja usluga i pružalaca usluga u oblasti socijalne i dječje zaštite;</w:t>
            </w:r>
          </w:p>
          <w:p w:rsidR="007A4CA1" w:rsidRPr="007A4CA1" w:rsidRDefault="007A4CA1" w:rsidP="007A4CA1">
            <w:pPr>
              <w:numPr>
                <w:ilvl w:val="0"/>
                <w:numId w:val="3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Dosljedno primjenjivati Zakon o socijalnom stanovanju, kao bi se stanovništvu koje se nalazi u stanju socijalne potrebe omogućilo rješavanje ovog egzistencijalnog problema;</w:t>
            </w:r>
          </w:p>
          <w:p w:rsidR="007A4CA1" w:rsidRPr="007A4CA1" w:rsidRDefault="007A4CA1" w:rsidP="007A4CA1">
            <w:pPr>
              <w:numPr>
                <w:ilvl w:val="0"/>
                <w:numId w:val="37"/>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Permanentno raditi na otvaranju novih radnih mjesta, pogotovo za mlade.</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ind w:left="1080"/>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ind w:left="1080"/>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ind w:left="1080"/>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ind w:left="1080"/>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ind w:left="1080"/>
        <w:contextualSpacing/>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33" w:name="_Toc484780068"/>
      <w:r w:rsidRPr="007A4CA1">
        <w:rPr>
          <w:rFonts w:ascii="Arial Narrow" w:eastAsia="Times New Roman" w:hAnsi="Arial Narrow" w:cstheme="majorBidi"/>
          <w:b/>
          <w:sz w:val="32"/>
          <w:szCs w:val="32"/>
        </w:rPr>
        <w:lastRenderedPageBreak/>
        <w:t>VII OBRAZOVANJE, SLOBODNO VRIJEME I KULTURNE AKTIVNOSTI</w:t>
      </w:r>
      <w:bookmarkEnd w:id="33"/>
    </w:p>
    <w:p w:rsidR="007A4CA1" w:rsidRPr="007A4CA1" w:rsidRDefault="007A4CA1" w:rsidP="007A4CA1">
      <w:pPr>
        <w:spacing w:after="0" w:line="240" w:lineRule="auto"/>
        <w:jc w:val="center"/>
        <w:rPr>
          <w:rFonts w:ascii="Arial Narrow" w:hAnsi="Arial Narrow"/>
          <w:b/>
          <w:sz w:val="24"/>
        </w:rPr>
      </w:pPr>
      <w:r w:rsidRPr="007A4CA1">
        <w:rPr>
          <w:rFonts w:ascii="Arial Narrow" w:hAnsi="Arial Narrow"/>
          <w:b/>
          <w:sz w:val="24"/>
        </w:rPr>
        <w:t>(Čl. 28,29 i 31 Konvencije)</w:t>
      </w:r>
    </w:p>
    <w:p w:rsidR="007A4CA1" w:rsidRPr="007A4CA1" w:rsidRDefault="007A4CA1" w:rsidP="007A4CA1">
      <w:pPr>
        <w:spacing w:after="0" w:line="240" w:lineRule="auto"/>
        <w:jc w:val="both"/>
        <w:rPr>
          <w:rFonts w:ascii="Arial Narrow" w:eastAsia="Times New Roman" w:hAnsi="Arial Narrow" w:cs="Times New Roman"/>
          <w:sz w:val="24"/>
          <w:szCs w:val="24"/>
          <w:highlight w:val="lightGray"/>
        </w:rPr>
      </w:pPr>
    </w:p>
    <w:p w:rsidR="007A4CA1" w:rsidRPr="007A4CA1" w:rsidRDefault="007A4CA1" w:rsidP="007A4CA1">
      <w:pPr>
        <w:spacing w:after="0" w:line="240" w:lineRule="auto"/>
        <w:jc w:val="both"/>
        <w:rPr>
          <w:rFonts w:ascii="Arial Narrow" w:eastAsia="Times New Roman" w:hAnsi="Arial Narrow" w:cs="Times New Roman"/>
          <w:sz w:val="24"/>
          <w:szCs w:val="24"/>
          <w:highlight w:val="lightGray"/>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4" w:name="_Toc484780069"/>
      <w:r w:rsidRPr="007A4CA1">
        <w:rPr>
          <w:rFonts w:ascii="Arial Narrow" w:eastAsia="Times New Roman" w:hAnsi="Arial Narrow" w:cstheme="majorBidi"/>
          <w:b/>
          <w:sz w:val="28"/>
          <w:szCs w:val="26"/>
        </w:rPr>
        <w:t>7.1. Obrazovanje, uključujući i stručno obrazovanje i usmjeravanje</w:t>
      </w:r>
      <w:bookmarkEnd w:id="34"/>
      <w:r w:rsidRPr="007A4CA1">
        <w:rPr>
          <w:rFonts w:ascii="Arial Narrow" w:eastAsia="Times New Roman" w:hAnsi="Arial Narrow" w:cstheme="majorBidi"/>
          <w:b/>
          <w:sz w:val="28"/>
          <w:szCs w:val="26"/>
        </w:rPr>
        <w:t xml:space="preserve"> </w:t>
      </w:r>
    </w:p>
    <w:p w:rsidR="007A4CA1" w:rsidRPr="007A4CA1" w:rsidRDefault="007A4CA1" w:rsidP="007A4CA1">
      <w:pPr>
        <w:spacing w:after="0" w:line="240" w:lineRule="auto"/>
        <w:rPr>
          <w:rFonts w:ascii="Arial Narrow" w:eastAsia="Times New Roman" w:hAnsi="Arial Narrow" w:cs="Times New Roman"/>
          <w:sz w:val="24"/>
          <w:szCs w:val="24"/>
        </w:rPr>
      </w:pPr>
      <w:r w:rsidRPr="007A4CA1">
        <w:rPr>
          <w:rFonts w:ascii="Arial Narrow" w:eastAsia="Times New Roman" w:hAnsi="Arial Narrow" w:cs="Times New Roman"/>
          <w:b/>
          <w:sz w:val="24"/>
          <w:szCs w:val="24"/>
        </w:rPr>
        <w:t>(Preporuka Komiteta, stav 60, 2010, Državni izvjestaj, stavovi 129-136)</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Stalne su aktivnosti države na unapređenju oblasti koja se odnosi na obrazovanje. Međutim i dalje postoji prostor za poboljšanje.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Prisutan je problem nedostatka kapaciteta predškolskih ustanova. Izražen je problem nedostajućih kapaciteta za boravak djece do 3 godine u jaslenim grupama. Takođe, prosječna stopa pohađanja predškolskih ustanova djece uzrasta od 3-6 godina je 40 %. Vlada Crne Gore je usvojila novu </w:t>
      </w:r>
      <w:r w:rsidRPr="007A4CA1">
        <w:rPr>
          <w:rFonts w:ascii="Arial Narrow" w:eastAsia="Times New Roman" w:hAnsi="Arial Narrow" w:cs="Times New Roman"/>
          <w:b/>
          <w:i/>
          <w:sz w:val="24"/>
          <w:szCs w:val="24"/>
        </w:rPr>
        <w:t>Strategiju ranog i predškolskog vaspitanja i obrazovanja 2016 -2020</w:t>
      </w:r>
      <w:r w:rsidRPr="007A4CA1">
        <w:rPr>
          <w:rFonts w:ascii="Arial Narrow" w:eastAsia="Times New Roman" w:hAnsi="Arial Narrow" w:cs="Times New Roman"/>
          <w:sz w:val="24"/>
          <w:szCs w:val="24"/>
        </w:rPr>
        <w:t xml:space="preserve"> kojom su postavljeni strateški ciljevi za unaprijeđenje stanja u ovoj oblasti: povećati obuhvat predškolskim vaspitanjem i obrazovanjem sve djece, naročito uzrasta od 3 g. do poaska u školu, unaprijediti kvalitet usluga predškolskog vaspitanja i obrazovanja i uvesti inovativne, optimalne i održive modele finansiranja.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Evidentan je problem broja osnovnoškolskih ustanova u odnosu na broj stanovnika, a naročito u Podgorici. I pored stalnih napora na poboljšanju uslova u obrazovnim institucijama i dalje postoje obrazovne ustanove koje je potrebno rekonstruisati kao bi boravak djece u njima bio bezbjedan.</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 pored činjenice da je osnovnoškolsko obrazovanje besplatno i dalje su prisutni skriveni troškovi – nabavka školskih udžbenika, školskog pribora i dr., a što nijesu zanemarljivi izdaci za porodični budžet. Takođe, učenički prevoz još uvijek nije u potpunosti besplatan i dostupan svoj djeci koja imaju potrebu da ga koriste.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Takođe, nijesu svi školski objekti u potpunosti prilagođeni djeci sa smanjenom pokretljivošču. Zaštitnik je podnio inicijativu za izmjenu Zakona o predškolskom vaspitanju i obrazovanju djece sa posebnim obrazovnim potrebama </w:t>
      </w:r>
      <w:r w:rsidRPr="007A4CA1">
        <w:rPr>
          <w:rFonts w:ascii="Arial Narrow" w:hAnsi="Arial Narrow" w:cs="Calibri"/>
          <w:sz w:val="23"/>
          <w:szCs w:val="23"/>
        </w:rPr>
        <w:t>("Službeni list Crne Gore", br. 040/16 od 30.06.2016)</w:t>
      </w:r>
      <w:r w:rsidRPr="007A4CA1">
        <w:rPr>
          <w:rFonts w:ascii="Arial Narrow" w:eastAsia="Times New Roman" w:hAnsi="Arial Narrow" w:cs="Times New Roman"/>
          <w:sz w:val="24"/>
          <w:szCs w:val="24"/>
        </w:rPr>
        <w:t xml:space="preserve"> kako bi se djeci sa smetnjama u razvoju obezbijedio asistent u nastavi, kao tehnička pomoć.</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autoSpaceDE w:val="0"/>
        <w:autoSpaceDN w:val="0"/>
        <w:adjustRightInd w:val="0"/>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Povodom Nacrta zakona o zaštiti stanovništva od zaraznih </w:t>
      </w:r>
      <w:r w:rsidRPr="007A4CA1">
        <w:rPr>
          <w:rFonts w:ascii="Arial Narrow" w:hAnsi="Arial Narrow" w:cs="Calibri"/>
          <w:sz w:val="23"/>
          <w:szCs w:val="23"/>
        </w:rPr>
        <w:t>bolesti ("Službeni list Crne Gore", br. 030/12 od 08.06.2012)</w:t>
      </w:r>
      <w:r w:rsidRPr="007A4CA1">
        <w:rPr>
          <w:rFonts w:ascii="Arial Narrow" w:eastAsia="Times New Roman" w:hAnsi="Arial Narrow" w:cs="Times New Roman"/>
          <w:sz w:val="24"/>
          <w:szCs w:val="24"/>
        </w:rPr>
        <w:t xml:space="preserve"> kojim se ograničava boravak djece u predškolskim i osnovnoškolskim ustanovama, Zaštitnik je dao mišljenje da se boravak djece ne može uslovljavati prethodnom vakcinacijom. </w:t>
      </w:r>
    </w:p>
    <w:p w:rsidR="007A4CA1" w:rsidRPr="007A4CA1" w:rsidRDefault="007A4CA1" w:rsidP="007A4CA1">
      <w:pPr>
        <w:autoSpaceDE w:val="0"/>
        <w:autoSpaceDN w:val="0"/>
        <w:adjustRightInd w:val="0"/>
        <w:spacing w:after="0" w:line="240" w:lineRule="auto"/>
        <w:jc w:val="both"/>
        <w:rPr>
          <w:rFonts w:ascii="Arial Narrow" w:hAnsi="Arial Narrow" w:cs="Calibri"/>
          <w:sz w:val="23"/>
          <w:szCs w:val="23"/>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Uočava se da je postoji veliki broj igraonica i drugih prostora namijenjenih za boravak i igru djece, a koji nijesu adekvatno zakonski regulisani.</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aktivnostima na povećanju kapaciteta predškolskih i osnovnoškolskih ustanova;</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Kontinuirano raditi na povećanju kvaliteta i bezbjednosti obrazovnih ustanova, sa posebnim naglaskom na uvođenje interaktivnog metoda nastave, boljom opremljenošću škola, povećanjem nastavnog kadra u odnosu na broj učenika, obuke nastavnika te njihovog većeg uključenja u procese reforme;</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da osnovno obrazovanje bude besplatno za sve učenike;</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finansijska sredstva za vannastavne aktivnosti u školama, a naročito u ruralnim sredinama i malim gradovima;</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lastRenderedPageBreak/>
              <w:t>Osigurati da se djeci ne onemogućava pristup obrazovanju po bilo kom osnovu;</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Pojačati napore da se poboljša pristup kvalitetnom obrazovanju (predškolskom, osnovnoškolskom i srednjem) u ruralnim sredinama i malim gradovima uključujući i prevoz učenika;</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Stvarati pretpostavke za dalje unapređenje inkluzivnog obrazovanja za djecu sa smetnjama u razvoju sa posebnim osvrtom na uspostavljanje održivih mehanizma angažovanja asistenata u nastavi;</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realizacijom programa koji doprinose povećanju uključivanja romske djece u obrazovanje na svim nivoima, sa posebnim osvrtom na programe koji doprinose smanjenju stope napuštanja škole;</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Jačati kapacitete psihološko-pedagoških službi u obrazovnim ustanovama koje bi pružale neophodnu podršku djeci, roditeljima i nastavnom osoblju u prevazilaženju različitih problema sa kojima se djeca i mladi svakodnevno suočavaju sa posebnim osvrtom na rješavanje problema vršnjačkog nasilja;</w:t>
            </w:r>
          </w:p>
          <w:p w:rsidR="007A4CA1" w:rsidRPr="007A4CA1" w:rsidRDefault="007A4CA1" w:rsidP="007A4CA1">
            <w:pPr>
              <w:numPr>
                <w:ilvl w:val="0"/>
                <w:numId w:val="38"/>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Donijeti jedinstveni propis kojim bi se propisali uslovi rada i nadzora nad radom igraonica i drugih prostora u kojima borave djeca.</w:t>
            </w:r>
          </w:p>
          <w:p w:rsidR="007A4CA1" w:rsidRPr="007A4CA1" w:rsidRDefault="007A4CA1" w:rsidP="007A4CA1">
            <w:pPr>
              <w:jc w:val="both"/>
              <w:rPr>
                <w:rFonts w:ascii="Arial Narrow" w:eastAsia="Times New Roman" w:hAnsi="Arial Narrow" w:cs="Times New Roman"/>
                <w:b/>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35" w:name="_Toc484780070"/>
      <w:r w:rsidRPr="007A4CA1">
        <w:rPr>
          <w:rFonts w:ascii="Arial Narrow" w:eastAsia="Times New Roman" w:hAnsi="Arial Narrow" w:cstheme="majorBidi"/>
          <w:b/>
          <w:sz w:val="32"/>
          <w:szCs w:val="32"/>
        </w:rPr>
        <w:t>VII POSEBNE MJERE ZAŠTITE</w:t>
      </w:r>
      <w:bookmarkEnd w:id="35"/>
    </w:p>
    <w:p w:rsidR="007A4CA1" w:rsidRPr="007A4CA1" w:rsidRDefault="007A4CA1" w:rsidP="007A4CA1">
      <w:pPr>
        <w:spacing w:after="0" w:line="240" w:lineRule="auto"/>
        <w:contextualSpacing/>
        <w:jc w:val="center"/>
        <w:rPr>
          <w:rFonts w:ascii="Arial Narrow" w:eastAsia="Times New Roman" w:hAnsi="Arial Narrow" w:cs="Times New Roman"/>
          <w:b/>
          <w:sz w:val="24"/>
          <w:szCs w:val="32"/>
        </w:rPr>
      </w:pPr>
      <w:r w:rsidRPr="007A4CA1">
        <w:rPr>
          <w:rFonts w:ascii="Arial Narrow" w:eastAsia="Times New Roman" w:hAnsi="Arial Narrow" w:cs="Times New Roman"/>
          <w:b/>
          <w:sz w:val="24"/>
          <w:szCs w:val="32"/>
        </w:rPr>
        <w:t>(čl. 22, 30, 32, 33, 35, 36, 37 (b)–(d), i 38–40 Konvencije)</w:t>
      </w:r>
    </w:p>
    <w:p w:rsidR="007A4CA1" w:rsidRPr="007A4CA1" w:rsidRDefault="007A4CA1" w:rsidP="007A4CA1">
      <w:pPr>
        <w:spacing w:after="0" w:line="240" w:lineRule="auto"/>
        <w:jc w:val="both"/>
        <w:rPr>
          <w:rFonts w:ascii="Arial Narrow" w:eastAsia="Times New Roman" w:hAnsi="Arial Narrow" w:cs="Times New Roman"/>
          <w:sz w:val="24"/>
          <w:szCs w:val="24"/>
          <w:highlight w:val="lightGray"/>
        </w:rPr>
      </w:pP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6" w:name="_Toc484780071"/>
      <w:r w:rsidRPr="007A4CA1">
        <w:rPr>
          <w:rFonts w:ascii="Arial Narrow" w:eastAsia="Times New Roman" w:hAnsi="Arial Narrow" w:cstheme="majorBidi"/>
          <w:b/>
          <w:sz w:val="28"/>
          <w:szCs w:val="26"/>
        </w:rPr>
        <w:t>8.1. Djeca azilanti i djeca izbjeglice/raseljena lica</w:t>
      </w:r>
      <w:bookmarkEnd w:id="36"/>
    </w:p>
    <w:p w:rsidR="007A4CA1" w:rsidRPr="007A4CA1" w:rsidRDefault="007A4CA1" w:rsidP="007A4CA1">
      <w:pPr>
        <w:spacing w:after="0" w:line="240" w:lineRule="auto"/>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62, 2010, Državni izvjestaj, stavovi 137-142)</w:t>
      </w:r>
    </w:p>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autoSpaceDE w:val="0"/>
        <w:autoSpaceDN w:val="0"/>
        <w:adjustRightInd w:val="0"/>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Zakonom o međunarodnoj i privremenoj zaštiti stranaca</w:t>
      </w:r>
      <w:r w:rsidRPr="007A4CA1">
        <w:rPr>
          <w:rFonts w:ascii="Arial Narrow" w:eastAsia="Times New Roman" w:hAnsi="Arial Narrow" w:cs="Times New Roman"/>
          <w:color w:val="FF0000"/>
          <w:sz w:val="24"/>
          <w:szCs w:val="24"/>
        </w:rPr>
        <w:t xml:space="preserve"> </w:t>
      </w:r>
      <w:r w:rsidRPr="007A4CA1">
        <w:rPr>
          <w:rFonts w:ascii="Arial Narrow" w:hAnsi="Arial Narrow" w:cs="Calibri"/>
          <w:sz w:val="23"/>
          <w:szCs w:val="23"/>
        </w:rPr>
        <w:t>("Službeni list Crne Gore", br. 2/17)</w:t>
      </w:r>
      <w:r w:rsidRPr="007A4CA1">
        <w:rPr>
          <w:rFonts w:ascii="Arial Narrow" w:eastAsia="Times New Roman" w:hAnsi="Arial Narrow" w:cs="Times New Roman"/>
          <w:sz w:val="24"/>
          <w:szCs w:val="24"/>
        </w:rPr>
        <w:t xml:space="preserve"> a koji će se primjenjivati od 1.januara 2018.godine, propisana su načela, uslovi i postupak za odobravanje međunarodne i privremene zaštite stranaca koji traže međunarodnu zaštitu, prava i obaveze stranaca koji traže međunarodnu zaštitu, azilanata, stranaca pod supsidijarnom zaštitom, stranaca pod privremenom zaštitom, kao i uslovi i postupak za poništenje i prestanak azila, supsidijarne i privremene zaštite.</w:t>
      </w:r>
    </w:p>
    <w:p w:rsidR="007A4CA1" w:rsidRPr="007A4CA1" w:rsidRDefault="007A4CA1" w:rsidP="007A4CA1">
      <w:pPr>
        <w:autoSpaceDE w:val="0"/>
        <w:autoSpaceDN w:val="0"/>
        <w:adjustRightInd w:val="0"/>
        <w:spacing w:after="0" w:line="240" w:lineRule="auto"/>
        <w:jc w:val="both"/>
        <w:rPr>
          <w:rFonts w:ascii="Arial Narrow" w:hAnsi="Arial Narrow" w:cs="Calibri"/>
          <w:sz w:val="23"/>
          <w:szCs w:val="23"/>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Vlada je februara 2017. godine, usvojila i novu Strategiju za trajno rješavanje pitanja raseljenih i izbjeglih lica u Crnoj Gori sa posebnim osvrtom na oblast Konik 2017-2019. Postoji još uvijek jedan broj raseljenih i interno raseljenih lica koja nijesu ostvarila status stranca u Crnoj Gori. Prema podacima UNHCR-a, u aprilu 2017. godine, broj neriješenih zahtjeva je 952, od kojih su 605 za stalno nastanjenje, a 347 za privremeni boravak. Od ovog broja, lica mladjih od 18 godina je 245 (197 za stalno nastanjenje, a 48 za privremeni boravak).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Djeca bez pratnje borave u objektima koji nijesu adekvatni. Djeca bez pratnje se smještaju u ustanovu u kojoj borave djeca sa problemima u ponašanju.</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3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dosljednu primjenu zakona i strateških dokumenata, a pogotovo u dijelu koji se odnosi na djecu sa posebnim akcentom na individualne potrebe;</w:t>
            </w:r>
          </w:p>
          <w:p w:rsidR="007A4CA1" w:rsidRPr="007A4CA1" w:rsidRDefault="007A4CA1" w:rsidP="007A4CA1">
            <w:pPr>
              <w:numPr>
                <w:ilvl w:val="0"/>
                <w:numId w:val="3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aktivnostima regulisanja statusa raseljenih i interno raseljenih lica, a naročito u dijelu pribavljanja ličnih dokumenata;</w:t>
            </w:r>
          </w:p>
          <w:p w:rsidR="007A4CA1" w:rsidRPr="007A4CA1" w:rsidRDefault="007A4CA1" w:rsidP="007A4CA1">
            <w:pPr>
              <w:numPr>
                <w:ilvl w:val="0"/>
                <w:numId w:val="39"/>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specijalizovani smještaj prilagođen individualnim potrebama djece.</w:t>
            </w:r>
          </w:p>
          <w:p w:rsidR="007A4CA1" w:rsidRPr="007A4CA1" w:rsidRDefault="007A4CA1" w:rsidP="007A4CA1">
            <w:pPr>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7" w:name="_Toc484780072"/>
      <w:r w:rsidRPr="007A4CA1">
        <w:rPr>
          <w:rFonts w:ascii="Arial Narrow" w:eastAsia="Times New Roman" w:hAnsi="Arial Narrow" w:cstheme="majorBidi"/>
          <w:b/>
          <w:sz w:val="28"/>
          <w:szCs w:val="26"/>
        </w:rPr>
        <w:lastRenderedPageBreak/>
        <w:t>8.2. Ekonomska eksploatacija uključujući i rad djece i djecu na ulici</w:t>
      </w:r>
      <w:bookmarkEnd w:id="37"/>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stavovi 64 i 66, 2010, Državni izvjestaj, stavovi 143-146)</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 pored pomaka u zakonodavnoj sferi koji se odnose na zabranu dječjeg rada i ekonomske eksploatacije, kao i sprovedeih kampanja i akcija u cilju prevencije i suzbijanja ovih pojava i dalje postoji potreba za stalnim aktivnostima kako bi se preduprijedio dječji rad i ekonomska eksploatacija, naročito u periodu turističke sezone.</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40"/>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Kontinuirano sprovoditi inspekcijski nadzor nad poslodavcima kako bi se obezbijedila dosljedna primjena zakona. </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8" w:name="_Toc484780073"/>
      <w:r w:rsidRPr="007A4CA1">
        <w:rPr>
          <w:rFonts w:ascii="Arial Narrow" w:eastAsia="Times New Roman" w:hAnsi="Arial Narrow" w:cstheme="majorBidi"/>
          <w:b/>
          <w:sz w:val="28"/>
          <w:szCs w:val="26"/>
        </w:rPr>
        <w:t>8.3. Djeca na ulici</w:t>
      </w:r>
      <w:bookmarkEnd w:id="38"/>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66, 2010, Državni izvjestaj, stavovi 147 - 151)</w:t>
      </w: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Evidentno je da ne postoje servisi u kojim bi djeca i majke sa maloljetnom djecom koji</w:t>
      </w:r>
      <w:r w:rsidRPr="007A4CA1">
        <w:rPr>
          <w:rFonts w:ascii="Arial Narrow" w:eastAsia="Times New Roman" w:hAnsi="Arial Narrow" w:cs="Times New Roman"/>
          <w:b/>
          <w:sz w:val="24"/>
          <w:szCs w:val="24"/>
        </w:rPr>
        <w:t xml:space="preserve"> </w:t>
      </w:r>
      <w:r w:rsidRPr="007A4CA1">
        <w:rPr>
          <w:rFonts w:ascii="Arial Narrow" w:eastAsia="Times New Roman" w:hAnsi="Arial Narrow" w:cs="Times New Roman"/>
          <w:sz w:val="24"/>
          <w:szCs w:val="24"/>
        </w:rPr>
        <w:t>borave na ulici i bave se prosjačenjem mogli da budu izmješteni i dobiju adekvatnu podršku. Kao dobar model može se primijeniti uspostavljanje centra za podršku djeci i porodici u Podgorici, koji sprovodi NVO Centar za prava djeteta uz podršku Save the Childrena.</w:t>
      </w: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Još uvijek je rasprostranjeno shvatanje da je </w:t>
      </w:r>
      <w:proofErr w:type="gramStart"/>
      <w:r w:rsidRPr="007A4CA1">
        <w:rPr>
          <w:rFonts w:ascii="Arial Narrow" w:eastAsia="Times New Roman" w:hAnsi="Arial Narrow" w:cs="Times New Roman"/>
          <w:sz w:val="24"/>
          <w:szCs w:val="24"/>
        </w:rPr>
        <w:t>prosjačenje”stil</w:t>
      </w:r>
      <w:proofErr w:type="gramEnd"/>
      <w:r w:rsidRPr="007A4CA1">
        <w:rPr>
          <w:rFonts w:ascii="Arial Narrow" w:eastAsia="Times New Roman" w:hAnsi="Arial Narrow" w:cs="Times New Roman"/>
          <w:sz w:val="24"/>
          <w:szCs w:val="24"/>
        </w:rPr>
        <w:t xml:space="preserve"> života” određenih društvenih grupa, pa nerijetko izostaje intervencija državnih institucija u uvjerenju da su sve aktivnosti uzaludne, a dešava se da djecu ne tretiraju kao žrtve zloupotrebe i zanemarivanja, već kao djecu koja ispoljavaju poremećaje u ponašanju.</w:t>
      </w: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Zaštitnik je krajem 2011.godine uradio </w:t>
      </w:r>
      <w:r w:rsidRPr="007A4CA1">
        <w:rPr>
          <w:rFonts w:ascii="Arial Narrow" w:eastAsia="Times New Roman" w:hAnsi="Arial Narrow" w:cs="Times New Roman"/>
          <w:b/>
          <w:i/>
          <w:sz w:val="24"/>
          <w:szCs w:val="24"/>
        </w:rPr>
        <w:t>Poseban izvještaj o dječijem prosjačenju u Crnoj Gori</w:t>
      </w:r>
      <w:r w:rsidRPr="007A4CA1">
        <w:rPr>
          <w:rFonts w:ascii="Arial Narrow" w:eastAsia="Times New Roman" w:hAnsi="Arial Narrow" w:cs="Times New Roman"/>
          <w:sz w:val="24"/>
          <w:szCs w:val="24"/>
        </w:rPr>
        <w:t xml:space="preserve"> u cilju analize postojeće situacije te dao preporuke nadležnim organima u cilju poboljšanja njihovog </w:t>
      </w:r>
      <w:proofErr w:type="gramStart"/>
      <w:r w:rsidRPr="007A4CA1">
        <w:rPr>
          <w:rFonts w:ascii="Arial Narrow" w:eastAsia="Times New Roman" w:hAnsi="Arial Narrow" w:cs="Times New Roman"/>
          <w:sz w:val="24"/>
          <w:szCs w:val="24"/>
        </w:rPr>
        <w:t>postupanja.Prisutna</w:t>
      </w:r>
      <w:proofErr w:type="gramEnd"/>
      <w:r w:rsidRPr="007A4CA1">
        <w:rPr>
          <w:rFonts w:ascii="Arial Narrow" w:eastAsia="Times New Roman" w:hAnsi="Arial Narrow" w:cs="Times New Roman"/>
          <w:sz w:val="24"/>
          <w:szCs w:val="24"/>
        </w:rPr>
        <w:t xml:space="preserve"> je praksa da se u kasnijim noćnim satima na ulici mogu sresti djeca mlađe starosne dobi bez pratnje.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Zaštitnik je u cilju ostvarivanja bezbjednosti djece, nihove dobrobiti i najboljeg interesa, predlagao izmjene i dopune Porodičnog zakona u smislu uvođenja obaveze roditelja da na odgovarajući način nadziru svoje dijete u druženju sa drugim osobama u skladu sa njegovim uzrastom i zrelošću, te ograničiti djeci mlađoj od 16 godina kasne noćne izlazake bez pratnje roditelja ili druge osobe u koju roditelji imaju povjerenja. </w:t>
      </w: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41"/>
              </w:numPr>
              <w:contextualSpacing/>
              <w:jc w:val="both"/>
              <w:rPr>
                <w:rFonts w:ascii="Arial Narrow" w:eastAsia="Times New Roman" w:hAnsi="Arial Narrow" w:cs="Times New Roman"/>
                <w:color w:val="000000" w:themeColor="text1"/>
                <w:sz w:val="24"/>
                <w:szCs w:val="24"/>
              </w:rPr>
            </w:pPr>
            <w:r w:rsidRPr="007A4CA1">
              <w:rPr>
                <w:rFonts w:ascii="Arial Narrow" w:eastAsia="Times New Roman" w:hAnsi="Arial Narrow" w:cs="Times New Roman"/>
                <w:color w:val="000000" w:themeColor="text1"/>
                <w:sz w:val="24"/>
                <w:szCs w:val="24"/>
              </w:rPr>
              <w:t xml:space="preserve">Propisati obaveze roditelja da na odgovarajući način nadziru svoje dijete u druženju sa drugim osobama u skladu sa njegovim uzrastom i zrelošću, kao i ograničiti djeci mlađoj od 16 godina kasne noćne izlazake bez pratnje roditelja ili druge osobe u koju roditelji imaju povjerenja; </w:t>
            </w:r>
          </w:p>
          <w:p w:rsidR="007A4CA1" w:rsidRPr="007A4CA1" w:rsidRDefault="007A4CA1" w:rsidP="007A4CA1">
            <w:pPr>
              <w:numPr>
                <w:ilvl w:val="0"/>
                <w:numId w:val="4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Realizovati kampanje na podizanju svijesti javnosti o štetnosti prosjačenja i obezbijediti dostupnost informacija prvenstveno djeci koja žive na ulici, kao bi se zaštitili od rizika da postanu žrtve trgovine ljudima i ekonomske i socijalne eksploatacije;</w:t>
            </w:r>
          </w:p>
          <w:p w:rsidR="007A4CA1" w:rsidRPr="007A4CA1" w:rsidRDefault="007A4CA1" w:rsidP="007A4CA1">
            <w:pPr>
              <w:numPr>
                <w:ilvl w:val="0"/>
                <w:numId w:val="4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Preduzimati kontinuirane programe prevencije i podrške porodicama iz kojih potiču djeca koja borave na ulici koji uključuju i prevencije napuštanja porodice i škole;</w:t>
            </w:r>
          </w:p>
          <w:p w:rsidR="007A4CA1" w:rsidRPr="007A4CA1" w:rsidRDefault="007A4CA1" w:rsidP="007A4CA1">
            <w:pPr>
              <w:numPr>
                <w:ilvl w:val="0"/>
                <w:numId w:val="4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Razvijati servise podrške u kojima bi djeca koja borave na ulici, kao i majke sa maloljetnom djecom mogli dobiti adekvatnu višednevnu zaštitu uključujući i boravak;</w:t>
            </w:r>
          </w:p>
          <w:p w:rsidR="007A4CA1" w:rsidRPr="007A4CA1" w:rsidRDefault="007A4CA1" w:rsidP="007A4CA1">
            <w:pPr>
              <w:numPr>
                <w:ilvl w:val="0"/>
                <w:numId w:val="41"/>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Donijeti protokol o postupanju kojim bi se jasno definisale nadležnosti, postupanja i saradnja u slučajevima zaticanja djece u prosjačenju.</w:t>
            </w:r>
          </w:p>
        </w:tc>
      </w:tr>
    </w:tbl>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39" w:name="_Toc484780074"/>
      <w:r w:rsidRPr="007A4CA1">
        <w:rPr>
          <w:rFonts w:ascii="Arial Narrow" w:eastAsia="Times New Roman" w:hAnsi="Arial Narrow" w:cstheme="majorBidi"/>
          <w:b/>
          <w:sz w:val="28"/>
          <w:szCs w:val="26"/>
        </w:rPr>
        <w:lastRenderedPageBreak/>
        <w:t>8.4. Seksualna eksploatacija i zlostavljanje</w:t>
      </w:r>
      <w:bookmarkEnd w:id="39"/>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68, 2010, Državni izvjestaj, stavovi 152 - 162)</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 pored niza strateških dokumenata koji tretiraju ovu problematiku i dalje je evidentan nedostatak stručnjaka i ustanova za tretman seksualno zlostavljene djece.</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Zaštitnik je 2012. godine, u okviru regionalnog Projekta </w:t>
      </w:r>
      <w:r w:rsidRPr="007A4CA1">
        <w:rPr>
          <w:rFonts w:ascii="Arial Narrow" w:eastAsia="Times New Roman" w:hAnsi="Arial Narrow" w:cs="Times New Roman"/>
          <w:b/>
          <w:i/>
          <w:sz w:val="24"/>
          <w:szCs w:val="24"/>
        </w:rPr>
        <w:t>Unapređenje položaja djeteta u cilju zaštite od svih vidova eksploatacije</w:t>
      </w:r>
      <w:r w:rsidRPr="007A4CA1">
        <w:rPr>
          <w:rFonts w:ascii="Arial Narrow" w:eastAsia="Times New Roman" w:hAnsi="Arial Narrow" w:cs="Times New Roman"/>
          <w:sz w:val="24"/>
          <w:szCs w:val="24"/>
        </w:rPr>
        <w:t xml:space="preserve"> sproveo istraživanje: </w:t>
      </w:r>
      <w:r w:rsidRPr="007A4CA1">
        <w:rPr>
          <w:rFonts w:ascii="Arial Narrow" w:eastAsia="Times New Roman" w:hAnsi="Arial Narrow" w:cs="Times New Roman"/>
          <w:b/>
          <w:i/>
          <w:sz w:val="24"/>
          <w:szCs w:val="24"/>
        </w:rPr>
        <w:t xml:space="preserve">Reakcija na seksualno iskorišćavanje djeteta? TIŠINA, </w:t>
      </w:r>
      <w:r w:rsidRPr="007A4CA1">
        <w:rPr>
          <w:rFonts w:ascii="Arial Narrow" w:eastAsia="Times New Roman" w:hAnsi="Arial Narrow" w:cs="Times New Roman"/>
          <w:sz w:val="24"/>
          <w:szCs w:val="24"/>
        </w:rPr>
        <w:t xml:space="preserve">koje se odnosilo na fenomen seksualnog iskorišćavanja djece, te dao preporuke nadležnim organima u cilju poboljšanja njihovog postupanja. Takođe, tokom 2013.godine sprovedeno je istraživanje </w:t>
      </w:r>
      <w:r w:rsidRPr="007A4CA1">
        <w:rPr>
          <w:rFonts w:ascii="Arial Narrow" w:eastAsia="Times New Roman" w:hAnsi="Arial Narrow" w:cs="Times New Roman"/>
          <w:b/>
          <w:i/>
          <w:sz w:val="24"/>
          <w:szCs w:val="24"/>
        </w:rPr>
        <w:t xml:space="preserve">Zloupotreba djece putem interneta </w:t>
      </w:r>
      <w:r w:rsidRPr="007A4CA1">
        <w:rPr>
          <w:rFonts w:ascii="Arial Narrow" w:eastAsia="Times New Roman" w:hAnsi="Arial Narrow" w:cs="Times New Roman"/>
          <w:sz w:val="24"/>
          <w:szCs w:val="24"/>
        </w:rPr>
        <w:t>sa ciljem utvrđivanja stepena razumijevanja pojma i načina zloupotrebe djece putem informacionih i komunikacijskih tehnologija, te dao preporuke o postupanju državnih organa kako bi se stvorilo sigurnije virtuelno okruženje za djecu.</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4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Nastaviti sa stalanim kampanjma podizanja svijesti javnosti o ovom problem;</w:t>
            </w:r>
          </w:p>
          <w:p w:rsidR="007A4CA1" w:rsidRPr="007A4CA1" w:rsidRDefault="007A4CA1" w:rsidP="007A4CA1">
            <w:pPr>
              <w:numPr>
                <w:ilvl w:val="0"/>
                <w:numId w:val="4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Realizovati kontinuirane edukacije stručnjaka koji rade sa djecom žrtvama;</w:t>
            </w:r>
          </w:p>
          <w:p w:rsidR="007A4CA1" w:rsidRPr="007A4CA1" w:rsidRDefault="007A4CA1" w:rsidP="007A4CA1">
            <w:pPr>
              <w:numPr>
                <w:ilvl w:val="0"/>
                <w:numId w:val="42"/>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Preduzimati radnje i mjere u cilju utvrđivanja efikasnih politika i zajedničkog djelovanja na suzbijanju i sprječavanju različitih vrsta zloupotreba djece putem interneta.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40" w:name="_Toc484780075"/>
      <w:r w:rsidRPr="007A4CA1">
        <w:rPr>
          <w:rFonts w:ascii="Arial Narrow" w:eastAsia="Times New Roman" w:hAnsi="Arial Narrow" w:cstheme="majorBidi"/>
          <w:b/>
          <w:sz w:val="28"/>
          <w:szCs w:val="26"/>
        </w:rPr>
        <w:t>8.5. Prodaja, trgovina i otmica</w:t>
      </w:r>
      <w:bookmarkEnd w:id="40"/>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70, 2010, Državni izvjestaj, stavovi 163 - 166)</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 xml:space="preserve">I dalje je prisutno tradicionalno ugovaranje maloljetničkih brakova, kao jedan od oblika iskorišćavanja djece, posebno u okviru romske zajednice. Prema podacima navedenim u Strategiji prevencije i zaštite djece od nasilja 2017 – 2021, u brak prije navršene 15. godine stupa 18% djevojčica iz romske i egipćanske zajednice, a 0,5% djevojčica iz opšte populacije.  </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proteklom periodu realizovane su kampanje sa ciljem podizanja svijesti javnosti o ovom problemu.</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4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Dosljedno sankcionisati ugovorene maloljetničke brakove;</w:t>
            </w:r>
          </w:p>
          <w:p w:rsidR="007A4CA1" w:rsidRPr="007A4CA1" w:rsidRDefault="007A4CA1" w:rsidP="007A4CA1">
            <w:pPr>
              <w:numPr>
                <w:ilvl w:val="0"/>
                <w:numId w:val="4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Sprovoditi edukacije roditelja o štetnosti maloljetničkih brakova;</w:t>
            </w:r>
          </w:p>
          <w:p w:rsidR="007A4CA1" w:rsidRPr="007A4CA1" w:rsidRDefault="007A4CA1" w:rsidP="007A4CA1">
            <w:pPr>
              <w:numPr>
                <w:ilvl w:val="0"/>
                <w:numId w:val="43"/>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Razvijati programe podrške djeci koja su u maloljetničkom braku, kao i u slučajevima “razvoda” braka.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41" w:name="_Toc484780076"/>
      <w:r w:rsidRPr="007A4CA1">
        <w:rPr>
          <w:rFonts w:ascii="Arial Narrow" w:eastAsia="Times New Roman" w:hAnsi="Arial Narrow" w:cstheme="majorBidi"/>
          <w:b/>
          <w:sz w:val="28"/>
          <w:szCs w:val="26"/>
        </w:rPr>
        <w:t>8.6. Sos telefoni</w:t>
      </w:r>
      <w:bookmarkEnd w:id="41"/>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72, 2010, Državni izvjestaj, stavovi 169-171)</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Iako su stvorene prostorne pretpostavke da u okviru JU Dječji dom “Mladost” otpočne sa radom nacionalna dječja telefonska linija, namijenjena djeci i mladima, sa savjetovalištem, još uvijek nije profunkcionisao ovaj servis.</w:t>
      </w:r>
    </w:p>
    <w:p w:rsidR="007A4CA1" w:rsidRPr="007A4CA1" w:rsidRDefault="007A4CA1" w:rsidP="007A4CA1">
      <w:pPr>
        <w:spacing w:after="0" w:line="240" w:lineRule="auto"/>
        <w:jc w:val="both"/>
        <w:rPr>
          <w:rFonts w:ascii="Arial Narrow" w:eastAsia="Times New Roman" w:hAnsi="Arial Narrow" w:cs="Times New Roman"/>
          <w:sz w:val="24"/>
          <w:szCs w:val="24"/>
        </w:rPr>
      </w:pPr>
    </w:p>
    <w:p w:rsidR="007A4CA1" w:rsidRPr="007A4CA1" w:rsidRDefault="007A4CA1" w:rsidP="007A4CA1">
      <w:pPr>
        <w:spacing w:after="0" w:line="240" w:lineRule="auto"/>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organizaciji NVO sektora postoje telefonske linije putem kojih djeca i roditelji mogu dobijati odgovore na različite teme.</w:t>
      </w:r>
    </w:p>
    <w:p w:rsidR="007A4CA1" w:rsidRPr="007A4CA1" w:rsidRDefault="007A4CA1" w:rsidP="007A4CA1">
      <w:pPr>
        <w:spacing w:after="0" w:line="240" w:lineRule="auto"/>
        <w:jc w:val="both"/>
        <w:rPr>
          <w:rFonts w:ascii="Arial Narrow" w:eastAsia="Times New Roman" w:hAnsi="Arial Narrow" w:cs="Times New Roman"/>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44"/>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Uspostaviti nacionalni, besplatni SOS telefon za djecu i mlade.</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outlineLvl w:val="1"/>
        <w:rPr>
          <w:rFonts w:ascii="Arial Narrow" w:eastAsia="Times New Roman" w:hAnsi="Arial Narrow" w:cstheme="majorBidi"/>
          <w:b/>
          <w:sz w:val="28"/>
          <w:szCs w:val="26"/>
        </w:rPr>
      </w:pPr>
      <w:bookmarkStart w:id="42" w:name="_Toc484780077"/>
      <w:r w:rsidRPr="007A4CA1">
        <w:rPr>
          <w:rFonts w:ascii="Arial Narrow" w:eastAsia="Times New Roman" w:hAnsi="Arial Narrow" w:cstheme="majorBidi"/>
          <w:b/>
          <w:sz w:val="28"/>
          <w:szCs w:val="26"/>
        </w:rPr>
        <w:t>8.7. Administracija maloljetničkog pravosuđa</w:t>
      </w:r>
      <w:bookmarkEnd w:id="42"/>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(Preporuka Komiteta, stav 74, 2010, Državni izvjestaj, stavovi 172-175)</w:t>
      </w:r>
    </w:p>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I pored stvorenih normativnih pretpostavki za poseban tretman djece u sukobu sa zakonom, još uvijek nijesu stvoreni uslovi za primjenu u praksi.</w:t>
      </w: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Osim Centra bezbjednosti Podgorica, u ostalim centrima i odjeljenjima bezbijednosti Uprave policije, ne postoje posebne prostorije za policijsko zadržavanje (do 72 sata). U Istražnom zatvoru postoje posebne prostorije za smještaj maloljetnih lica, ali uslovi nijesu na zadovoljavajućem nivou.</w:t>
      </w:r>
    </w:p>
    <w:p w:rsidR="007A4CA1" w:rsidRPr="007A4CA1" w:rsidRDefault="007A4CA1" w:rsidP="007A4CA1">
      <w:pPr>
        <w:spacing w:after="0" w:line="240" w:lineRule="auto"/>
        <w:contextualSpacing/>
        <w:jc w:val="both"/>
        <w:rPr>
          <w:rFonts w:ascii="Arial Narrow" w:eastAsia="Times New Roman" w:hAnsi="Arial Narrow" w:cs="Times New Roman"/>
          <w:sz w:val="24"/>
          <w:szCs w:val="24"/>
        </w:rPr>
      </w:pPr>
    </w:p>
    <w:p w:rsidR="007A4CA1" w:rsidRPr="007A4CA1" w:rsidRDefault="007A4CA1" w:rsidP="007A4CA1">
      <w:pPr>
        <w:spacing w:after="0" w:line="240" w:lineRule="auto"/>
        <w:contextualSpacing/>
        <w:jc w:val="both"/>
        <w:rPr>
          <w:rFonts w:ascii="Arial Narrow" w:eastAsia="Calibri" w:hAnsi="Arial Narrow" w:cs="Times New Roman"/>
          <w:sz w:val="24"/>
          <w:szCs w:val="24"/>
          <w:lang w:val="sr-Latn-ME"/>
        </w:rPr>
      </w:pPr>
      <w:r w:rsidRPr="007A4CA1">
        <w:rPr>
          <w:rFonts w:ascii="Arial Narrow" w:eastAsia="Times New Roman" w:hAnsi="Arial Narrow" w:cs="Times New Roman"/>
          <w:sz w:val="24"/>
          <w:szCs w:val="24"/>
        </w:rPr>
        <w:t>U okviru Zavoda za izvršenje krivičnih sankcija (ZIKS) postoji poseban paviljon (F paviljon) u kojem su obezbijeđeni uslovi za boravak maloljetnih prestupnika, koji je izdvojen od ostalih pavil</w:t>
      </w:r>
      <w:r w:rsidRPr="007A4CA1">
        <w:rPr>
          <w:rFonts w:ascii="Arial Narrow" w:eastAsia="Times New Roman" w:hAnsi="Arial Narrow" w:cs="Times New Roman"/>
          <w:sz w:val="24"/>
          <w:szCs w:val="24"/>
          <w:lang w:val="sr-Latn-ME"/>
        </w:rPr>
        <w:t xml:space="preserve">jona u zatvorenom dijelu </w:t>
      </w:r>
      <w:r w:rsidRPr="007A4CA1">
        <w:rPr>
          <w:rFonts w:ascii="Arial Narrow" w:eastAsia="Times New Roman" w:hAnsi="Arial Narrow" w:cs="Times New Roman"/>
          <w:sz w:val="24"/>
          <w:szCs w:val="24"/>
        </w:rPr>
        <w:t xml:space="preserve">zatvora, ali u njemu borave i </w:t>
      </w:r>
      <w:r w:rsidRPr="007A4CA1">
        <w:rPr>
          <w:rFonts w:ascii="Arial Narrow" w:eastAsia="Calibri" w:hAnsi="Arial Narrow" w:cs="Times New Roman"/>
          <w:sz w:val="24"/>
          <w:szCs w:val="24"/>
          <w:lang w:val="sr-Latn-ME"/>
        </w:rPr>
        <w:t xml:space="preserve">odrasla osuđena lica koja su bezbjednosno rizična. Takođe, u okviru ZIKS-a izvršava se i mjera upućivanja u ustanovu zavodskog tipa. </w:t>
      </w:r>
    </w:p>
    <w:p w:rsidR="007A4CA1" w:rsidRPr="007A4CA1" w:rsidRDefault="007A4CA1" w:rsidP="007A4CA1">
      <w:pPr>
        <w:spacing w:after="0" w:line="240" w:lineRule="auto"/>
        <w:contextualSpacing/>
        <w:jc w:val="both"/>
        <w:rPr>
          <w:rFonts w:ascii="Arial Narrow" w:eastAsia="Calibri" w:hAnsi="Arial Narrow" w:cs="Times New Roman"/>
          <w:sz w:val="24"/>
          <w:szCs w:val="24"/>
          <w:lang w:val="sr-Latn-ME"/>
        </w:rPr>
      </w:pPr>
    </w:p>
    <w:p w:rsidR="007A4CA1" w:rsidRPr="007A4CA1" w:rsidRDefault="007A4CA1" w:rsidP="007A4CA1">
      <w:pPr>
        <w:spacing w:after="0" w:line="240" w:lineRule="auto"/>
        <w:contextualSpacing/>
        <w:jc w:val="both"/>
        <w:rPr>
          <w:rFonts w:ascii="Arial Narrow" w:eastAsia="Calibri" w:hAnsi="Arial Narrow" w:cs="Times New Roman"/>
          <w:sz w:val="24"/>
          <w:szCs w:val="24"/>
          <w:lang w:val="sr-Latn-ME"/>
        </w:rPr>
      </w:pPr>
      <w:r w:rsidRPr="007A4CA1">
        <w:rPr>
          <w:rFonts w:ascii="Arial Narrow" w:eastAsia="Calibri" w:hAnsi="Arial Narrow" w:cs="Times New Roman"/>
          <w:sz w:val="24"/>
          <w:szCs w:val="24"/>
          <w:lang w:val="sr-Latn-ME"/>
        </w:rPr>
        <w:t xml:space="preserve">Ne postoji adekvatan stručni tretman. </w:t>
      </w:r>
      <w:r w:rsidRPr="007A4CA1">
        <w:rPr>
          <w:rFonts w:ascii="Arial Narrow" w:eastAsia="Calibri" w:hAnsi="Arial Narrow" w:cs="Times New Roman"/>
          <w:sz w:val="24"/>
          <w:lang w:val="sr-Latn-ME"/>
        </w:rPr>
        <w:t xml:space="preserve">Tim NPM-a je utvrdio da se generalno u radu sa maloletnicima ne primjenjuju posebni oblici tretmana iako </w:t>
      </w:r>
      <w:r w:rsidRPr="007A4CA1">
        <w:rPr>
          <w:rFonts w:ascii="Arial Narrow" w:eastAsia="Calibri" w:hAnsi="Arial Narrow" w:cs="Times New Roman"/>
          <w:sz w:val="24"/>
          <w:szCs w:val="24"/>
          <w:lang w:val="sr-Latn-ME"/>
        </w:rPr>
        <w:t>specifična psihološka i psihosocijalna obilježja maloljetnih delinkvenata uslovljavaju naročitu osjetljivost maloljetnika na deprivacije i lišavanja u ustanovi i uzrokuju neophodnost primjene posebnog oblika tretmana. Ni jedan od zatvorenika koji izdržavaju kaznu maloljetničkog zatvora, nakon dolaska u zatvor, nije nastavio školovanje niti su informisani kako bi to mogli uraditi.</w:t>
      </w:r>
    </w:p>
    <w:p w:rsidR="007A4CA1" w:rsidRPr="007A4CA1" w:rsidRDefault="007A4CA1" w:rsidP="007A4CA1">
      <w:pPr>
        <w:spacing w:after="0" w:line="240" w:lineRule="auto"/>
        <w:contextualSpacing/>
        <w:jc w:val="both"/>
        <w:rPr>
          <w:rFonts w:ascii="Arial Narrow" w:eastAsia="Calibri" w:hAnsi="Arial Narrow" w:cs="Times New Roman"/>
          <w:sz w:val="24"/>
          <w:szCs w:val="24"/>
          <w:lang w:val="sr-Latn-ME"/>
        </w:rPr>
      </w:pPr>
      <w:r w:rsidRPr="007A4CA1">
        <w:rPr>
          <w:rFonts w:ascii="Arial Narrow" w:eastAsia="Calibri" w:hAnsi="Arial Narrow" w:cs="Times New Roman"/>
          <w:sz w:val="24"/>
          <w:szCs w:val="24"/>
          <w:lang w:val="sr-Latn-ME"/>
        </w:rPr>
        <w:t xml:space="preserve"> </w:t>
      </w:r>
    </w:p>
    <w:p w:rsidR="007A4CA1" w:rsidRPr="007A4CA1" w:rsidRDefault="007A4CA1" w:rsidP="007A4CA1">
      <w:pPr>
        <w:spacing w:after="0" w:line="240" w:lineRule="auto"/>
        <w:contextualSpacing/>
        <w:jc w:val="both"/>
        <w:rPr>
          <w:rFonts w:ascii="Arial Narrow" w:eastAsia="Calibri" w:hAnsi="Arial Narrow" w:cs="Times New Roman"/>
          <w:sz w:val="24"/>
          <w:szCs w:val="24"/>
          <w:lang w:val="sr-Latn-ME"/>
        </w:rPr>
      </w:pPr>
      <w:r w:rsidRPr="007A4CA1">
        <w:rPr>
          <w:rFonts w:ascii="Arial Narrow" w:eastAsia="Calibri" w:hAnsi="Arial Narrow" w:cs="Times New Roman"/>
          <w:sz w:val="24"/>
          <w:szCs w:val="24"/>
          <w:lang w:val="sr-Latn-ME"/>
        </w:rPr>
        <w:t>Ne postoji specijalizovana ustanova u okviru koje bi se mogla realizovati vaspitna institucionalna mjera, namijenjena maloljetnicima ometenim u psihičkom razvoju ili sa psihičkim poremećajima a koji su počinili krivično djelo.</w:t>
      </w:r>
    </w:p>
    <w:p w:rsidR="007A4CA1" w:rsidRPr="007A4CA1" w:rsidRDefault="007A4CA1" w:rsidP="007A4CA1">
      <w:pPr>
        <w:spacing w:after="0" w:line="240" w:lineRule="auto"/>
        <w:contextualSpacing/>
        <w:jc w:val="both"/>
        <w:rPr>
          <w:rFonts w:ascii="Arial Narrow" w:eastAsia="Calibri" w:hAnsi="Arial Narrow" w:cs="Times New Roman"/>
          <w:sz w:val="24"/>
          <w:szCs w:val="24"/>
          <w:lang w:val="sr-Latn-ME"/>
        </w:rPr>
      </w:pPr>
    </w:p>
    <w:p w:rsidR="007A4CA1" w:rsidRPr="007A4CA1" w:rsidRDefault="007A4CA1" w:rsidP="007A4CA1">
      <w:pPr>
        <w:spacing w:after="0" w:line="240" w:lineRule="auto"/>
        <w:contextualSpacing/>
        <w:jc w:val="both"/>
        <w:rPr>
          <w:rFonts w:ascii="Arial Narrow" w:eastAsia="Calibri" w:hAnsi="Arial Narrow" w:cs="Times New Roman"/>
          <w:sz w:val="24"/>
          <w:szCs w:val="24"/>
          <w:lang w:val="sr-Latn-ME"/>
        </w:rPr>
      </w:pPr>
      <w:r w:rsidRPr="007A4CA1">
        <w:rPr>
          <w:rFonts w:ascii="Arial Narrow" w:eastAsia="Calibri" w:hAnsi="Arial Narrow" w:cs="Times New Roman"/>
          <w:sz w:val="24"/>
          <w:szCs w:val="24"/>
          <w:lang w:val="sr-Latn-ME"/>
        </w:rPr>
        <w:t>Alternativne mjere još uvijek nijesu u potpunosti zaživjele uz mogućnost primjene na cijeloj teritoriji države.</w:t>
      </w:r>
    </w:p>
    <w:p w:rsidR="007A4CA1" w:rsidRPr="007A4CA1" w:rsidRDefault="007A4CA1" w:rsidP="007A4CA1">
      <w:pPr>
        <w:spacing w:after="0" w:line="240" w:lineRule="auto"/>
        <w:jc w:val="both"/>
        <w:rPr>
          <w:rFonts w:ascii="Arial Narrow" w:eastAsia="Times New Roman" w:hAnsi="Arial Narrow" w:cs="Times New Roman"/>
          <w:b/>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dosljednu primjenu normativnih akata koji se odnose na ovu problematiku;</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Odvajati djecu od odraslih prilikom određivanja pritvora;</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da u paviljonu koji je namijenjen za boravak maloljetnih prestupnika ne bude i odraslih;</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da se sankcija upućivanja u ustanovu zavodskog tipa izvršava u prostoru namijenjenom za to, a ne u maloljetničkom zatvoru;</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sprovođenje alternativnih sankcija;</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adekvatni stručni tretman maloljetnika u svim fazama postupka;</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Omogućiti nastavak školovanja, ukoliko ga žele;</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Obezbijediti programe namijenjene reintegraciji i resocijalnizaciji maloljetnika;</w:t>
            </w:r>
          </w:p>
          <w:p w:rsidR="007A4CA1" w:rsidRPr="007A4CA1" w:rsidRDefault="007A4CA1" w:rsidP="007A4CA1">
            <w:pPr>
              <w:numPr>
                <w:ilvl w:val="0"/>
                <w:numId w:val="45"/>
              </w:numPr>
              <w:contextualSpacing/>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Kadrovski jačati stručne službe i sprovoditi kontinuirane edukacije profesionalaca koji rade sa maloljetnicima u svim fazama postupka.</w:t>
            </w:r>
          </w:p>
          <w:p w:rsidR="007A4CA1" w:rsidRPr="007A4CA1" w:rsidRDefault="007A4CA1" w:rsidP="007A4CA1">
            <w:pPr>
              <w:ind w:left="720"/>
              <w:contextualSpacing/>
              <w:jc w:val="both"/>
              <w:rPr>
                <w:rFonts w:ascii="Arial Narrow" w:eastAsia="Times New Roman" w:hAnsi="Arial Narrow" w:cs="Times New Roman"/>
                <w:sz w:val="24"/>
                <w:szCs w:val="24"/>
              </w:rPr>
            </w:pPr>
          </w:p>
        </w:tc>
      </w:tr>
    </w:tbl>
    <w:p w:rsidR="007A4CA1" w:rsidRPr="007A4CA1" w:rsidRDefault="007A4CA1" w:rsidP="007A4CA1">
      <w:pPr>
        <w:spacing w:after="0" w:line="240" w:lineRule="auto"/>
        <w:contextualSpacing/>
        <w:jc w:val="both"/>
        <w:rPr>
          <w:rFonts w:ascii="Arial Narrow" w:eastAsia="Times New Roman" w:hAnsi="Arial Narrow" w:cs="Times New Roman"/>
          <w:b/>
          <w:sz w:val="24"/>
          <w:szCs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lang w:val="bs-Latn-BA" w:eastAsia="bs-Latn-BA"/>
        </w:rPr>
      </w:pPr>
      <w:bookmarkStart w:id="43" w:name="_Toc484780078"/>
      <w:r w:rsidRPr="007A4CA1">
        <w:rPr>
          <w:rFonts w:ascii="Arial Narrow" w:eastAsia="Times New Roman" w:hAnsi="Arial Narrow" w:cstheme="majorBidi"/>
          <w:b/>
          <w:sz w:val="32"/>
          <w:szCs w:val="32"/>
          <w:lang w:val="bs-Latn-BA" w:eastAsia="bs-Latn-BA"/>
        </w:rPr>
        <w:lastRenderedPageBreak/>
        <w:t>IX Fakultativni protokol uz Konvenciju o pravima djeteta, o prodaji djece, dječjoj prostituciji i pornografiji</w:t>
      </w:r>
      <w:bookmarkEnd w:id="43"/>
    </w:p>
    <w:p w:rsidR="007A4CA1" w:rsidRPr="007A4CA1" w:rsidRDefault="007A4CA1" w:rsidP="007A4CA1">
      <w:pPr>
        <w:tabs>
          <w:tab w:val="left" w:pos="9639"/>
        </w:tabs>
        <w:spacing w:after="0" w:line="240" w:lineRule="auto"/>
        <w:jc w:val="both"/>
        <w:rPr>
          <w:rFonts w:ascii="Arial Narrow" w:eastAsia="Times New Roman" w:hAnsi="Arial Narrow" w:cs="Times New Roman"/>
          <w:b/>
          <w:color w:val="231F20"/>
          <w:sz w:val="24"/>
          <w:szCs w:val="24"/>
          <w:lang w:val="bs-Latn-BA" w:eastAsia="bs-Latn-BA"/>
        </w:rPr>
      </w:pPr>
    </w:p>
    <w:p w:rsidR="007A4CA1" w:rsidRPr="007A4CA1" w:rsidRDefault="007A4CA1" w:rsidP="007A4CA1">
      <w:pPr>
        <w:tabs>
          <w:tab w:val="left" w:pos="9639"/>
        </w:tabs>
        <w:spacing w:after="0" w:line="240" w:lineRule="auto"/>
        <w:jc w:val="both"/>
        <w:rPr>
          <w:rFonts w:ascii="Arial Narrow" w:eastAsia="Times New Roman" w:hAnsi="Arial Narrow" w:cs="Times New Roman"/>
          <w:b/>
          <w:color w:val="231F20"/>
          <w:sz w:val="24"/>
          <w:szCs w:val="24"/>
          <w:lang w:val="bs-Latn-BA" w:eastAsia="bs-Latn-BA"/>
        </w:rPr>
      </w:pPr>
    </w:p>
    <w:p w:rsidR="007A4CA1" w:rsidRPr="007A4CA1" w:rsidRDefault="007A4CA1" w:rsidP="007A4CA1">
      <w:pPr>
        <w:tabs>
          <w:tab w:val="left" w:pos="9639"/>
        </w:tabs>
        <w:spacing w:after="0" w:line="240" w:lineRule="auto"/>
        <w:jc w:val="both"/>
        <w:rPr>
          <w:rFonts w:ascii="Arial Narrow" w:eastAsia="Times New Roman" w:hAnsi="Arial Narrow" w:cs="Times New Roman"/>
          <w:color w:val="231F20"/>
          <w:sz w:val="24"/>
          <w:szCs w:val="24"/>
          <w:lang w:val="bs-Latn-BA" w:eastAsia="bs-Latn-BA"/>
        </w:rPr>
      </w:pPr>
      <w:r w:rsidRPr="007A4CA1">
        <w:rPr>
          <w:rFonts w:ascii="Arial Narrow" w:eastAsia="Times New Roman" w:hAnsi="Arial Narrow" w:cs="Times New Roman"/>
          <w:color w:val="231F20"/>
          <w:sz w:val="24"/>
          <w:szCs w:val="24"/>
          <w:lang w:val="bs-Latn-BA" w:eastAsia="bs-Latn-BA"/>
        </w:rPr>
        <w:t xml:space="preserve">Zakonodavstvom Crne Gore obuhvaćena je problematika koja se odnosi na zabranu prodaje djece, dječju prostituciju i dječju pornografiju. </w:t>
      </w:r>
    </w:p>
    <w:p w:rsidR="007A4CA1" w:rsidRPr="007A4CA1" w:rsidRDefault="007A4CA1" w:rsidP="007A4CA1">
      <w:pPr>
        <w:tabs>
          <w:tab w:val="left" w:pos="9639"/>
        </w:tabs>
        <w:spacing w:after="0" w:line="240" w:lineRule="auto"/>
        <w:jc w:val="both"/>
        <w:rPr>
          <w:rFonts w:ascii="Arial Narrow" w:eastAsia="Times New Roman" w:hAnsi="Arial Narrow" w:cs="Times New Roman"/>
          <w:color w:val="231F20"/>
          <w:sz w:val="24"/>
          <w:szCs w:val="24"/>
          <w:lang w:val="bs-Latn-BA" w:eastAsia="bs-Latn-BA"/>
        </w:rPr>
      </w:pPr>
    </w:p>
    <w:p w:rsidR="007A4CA1" w:rsidRPr="007A4CA1" w:rsidRDefault="007A4CA1" w:rsidP="007A4CA1">
      <w:pPr>
        <w:tabs>
          <w:tab w:val="left" w:pos="9639"/>
        </w:tabs>
        <w:spacing w:after="0" w:line="240" w:lineRule="auto"/>
        <w:jc w:val="both"/>
        <w:rPr>
          <w:rFonts w:ascii="Arial Narrow" w:eastAsia="Times New Roman" w:hAnsi="Arial Narrow" w:cs="Arial"/>
          <w:sz w:val="24"/>
          <w:szCs w:val="24"/>
        </w:rPr>
      </w:pPr>
      <w:r w:rsidRPr="007A4CA1">
        <w:rPr>
          <w:rFonts w:ascii="Arial Narrow" w:eastAsia="Times New Roman" w:hAnsi="Arial Narrow" w:cs="Times New Roman"/>
          <w:color w:val="231F20"/>
          <w:sz w:val="24"/>
          <w:szCs w:val="24"/>
          <w:lang w:val="bs-Latn-BA" w:eastAsia="bs-Latn-BA"/>
        </w:rPr>
        <w:t xml:space="preserve">Strateška dokumenta koja se odnose na ostvarivanje prava djece u Crnoj Gori obuhvataju i sistem prevencije i zaštite djece koja se pojavljuju kao žrtve radnji zabranjenih Protokolom. Takođe, sprovodile su se i javne kampanje u cilju podizanja svijesti javnosti o ovim problemima. </w:t>
      </w:r>
      <w:r w:rsidRPr="007A4CA1">
        <w:rPr>
          <w:rFonts w:ascii="Arial Narrow" w:eastAsia="Times New Roman" w:hAnsi="Arial Narrow" w:cs="Arial"/>
          <w:sz w:val="24"/>
          <w:szCs w:val="24"/>
        </w:rPr>
        <w:t>Zaštitnik ljudskih prava i sloboda, u okviru redovnog mandata bavi se promivisanjem Konvencije o pravima djeteta i njenih Protokola.</w:t>
      </w:r>
    </w:p>
    <w:p w:rsidR="007A4CA1" w:rsidRPr="007A4CA1" w:rsidRDefault="007A4CA1" w:rsidP="007A4CA1">
      <w:pPr>
        <w:tabs>
          <w:tab w:val="left" w:pos="9639"/>
        </w:tabs>
        <w:spacing w:after="0" w:line="240" w:lineRule="auto"/>
        <w:jc w:val="both"/>
        <w:rPr>
          <w:rFonts w:ascii="Arial Narrow" w:eastAsia="Times New Roman" w:hAnsi="Arial Narrow" w:cs="Times New Roman"/>
          <w:color w:val="231F20"/>
          <w:sz w:val="24"/>
          <w:szCs w:val="24"/>
          <w:lang w:val="bs-Latn-BA" w:eastAsia="bs-Latn-BA"/>
        </w:rPr>
      </w:pPr>
    </w:p>
    <w:p w:rsidR="007A4CA1" w:rsidRPr="007A4CA1" w:rsidRDefault="007A4CA1" w:rsidP="007A4CA1">
      <w:pPr>
        <w:spacing w:after="0" w:line="240" w:lineRule="auto"/>
        <w:jc w:val="both"/>
        <w:rPr>
          <w:rFonts w:ascii="Arial Narrow" w:hAnsi="Arial Narrow"/>
          <w:sz w:val="24"/>
          <w:szCs w:val="24"/>
        </w:rPr>
      </w:pPr>
      <w:r w:rsidRPr="007A4CA1">
        <w:rPr>
          <w:rFonts w:ascii="Arial Narrow" w:hAnsi="Arial Narrow"/>
          <w:sz w:val="24"/>
          <w:szCs w:val="24"/>
        </w:rPr>
        <w:t xml:space="preserve">U svim svojim preporukama, kada je u pitanju ostvarivanje prava djece, Zaštitnik ukazuje na značaj i neophodnost primjene Konvencije. Značajan doprinos promovisanju Konvencije o pravima djeteta i njenih Protokola dao i je i civilni sektor.  </w:t>
      </w:r>
    </w:p>
    <w:p w:rsidR="007A4CA1" w:rsidRPr="007A4CA1" w:rsidRDefault="007A4CA1" w:rsidP="007A4CA1">
      <w:pPr>
        <w:spacing w:after="0" w:line="240" w:lineRule="auto"/>
        <w:jc w:val="both"/>
        <w:rPr>
          <w:rFonts w:ascii="Arial Narrow" w:hAnsi="Arial Narrow"/>
          <w:sz w:val="24"/>
          <w:szCs w:val="24"/>
        </w:rPr>
      </w:pPr>
    </w:p>
    <w:tbl>
      <w:tblPr>
        <w:tblStyle w:val="TableGrid"/>
        <w:tblW w:w="9751" w:type="dxa"/>
        <w:tblLook w:val="04A0" w:firstRow="1" w:lastRow="0" w:firstColumn="1" w:lastColumn="0" w:noHBand="0" w:noVBand="1"/>
      </w:tblPr>
      <w:tblGrid>
        <w:gridCol w:w="9751"/>
      </w:tblGrid>
      <w:tr w:rsidR="007A4CA1" w:rsidRPr="007A4CA1" w:rsidTr="00396825">
        <w:tc>
          <w:tcPr>
            <w:tcW w:w="9751" w:type="dxa"/>
          </w:tcPr>
          <w:p w:rsidR="007A4CA1" w:rsidRPr="007A4CA1" w:rsidRDefault="007A4CA1" w:rsidP="007A4CA1">
            <w:pPr>
              <w:jc w:val="both"/>
              <w:rPr>
                <w:rFonts w:ascii="Arial Narrow" w:eastAsia="Times New Roman" w:hAnsi="Arial Narrow" w:cs="Times New Roman"/>
                <w:b/>
                <w:sz w:val="24"/>
                <w:szCs w:val="24"/>
              </w:rPr>
            </w:pPr>
          </w:p>
          <w:p w:rsidR="007A4CA1" w:rsidRPr="007A4CA1" w:rsidRDefault="007A4CA1" w:rsidP="007A4CA1">
            <w:pPr>
              <w:jc w:val="both"/>
              <w:rPr>
                <w:rFonts w:ascii="Arial Narrow" w:eastAsia="Times New Roman" w:hAnsi="Arial Narrow" w:cs="Times New Roman"/>
                <w:b/>
                <w:sz w:val="24"/>
                <w:szCs w:val="24"/>
              </w:rPr>
            </w:pPr>
            <w:r w:rsidRPr="007A4CA1">
              <w:rPr>
                <w:rFonts w:ascii="Arial Narrow" w:eastAsia="Times New Roman" w:hAnsi="Arial Narrow" w:cs="Times New Roman"/>
                <w:b/>
                <w:sz w:val="24"/>
                <w:szCs w:val="24"/>
              </w:rPr>
              <w:t>Zaštitnik preporučuje:</w:t>
            </w:r>
          </w:p>
          <w:p w:rsidR="007A4CA1" w:rsidRPr="007A4CA1" w:rsidRDefault="007A4CA1" w:rsidP="007A4CA1">
            <w:pPr>
              <w:numPr>
                <w:ilvl w:val="0"/>
                <w:numId w:val="12"/>
              </w:numPr>
              <w:jc w:val="both"/>
              <w:rPr>
                <w:rFonts w:ascii="Arial Narrow" w:hAnsi="Arial Narrow"/>
                <w:b/>
                <w:sz w:val="28"/>
                <w:szCs w:val="28"/>
              </w:rPr>
            </w:pPr>
            <w:r w:rsidRPr="007A4CA1">
              <w:rPr>
                <w:rFonts w:ascii="Arial Narrow" w:hAnsi="Arial Narrow"/>
                <w:sz w:val="24"/>
                <w:szCs w:val="24"/>
              </w:rPr>
              <w:t>Preduzeti mjere na upoznavanju šire javnosti, naročito djece, o problemu trgovine djecom i njihovom iskorišćavanju u pornografiji i prostituciji;</w:t>
            </w:r>
          </w:p>
          <w:p w:rsidR="007A4CA1" w:rsidRPr="007A4CA1" w:rsidRDefault="007A4CA1" w:rsidP="007A4CA1">
            <w:pPr>
              <w:numPr>
                <w:ilvl w:val="0"/>
                <w:numId w:val="12"/>
              </w:numPr>
              <w:jc w:val="both"/>
              <w:rPr>
                <w:rFonts w:ascii="Arial Narrow" w:hAnsi="Arial Narrow"/>
                <w:b/>
                <w:sz w:val="24"/>
                <w:szCs w:val="24"/>
              </w:rPr>
            </w:pPr>
            <w:r w:rsidRPr="007A4CA1">
              <w:rPr>
                <w:rFonts w:ascii="Arial Narrow" w:hAnsi="Arial Narrow"/>
                <w:sz w:val="24"/>
                <w:szCs w:val="24"/>
              </w:rPr>
              <w:t>Sprovoditi kontinuirano aktivnosti u saradnji sa turističkom industrijom kako bi se promovisao odgovoran turizam i spriječio turizam zbog seksa sa djecom;</w:t>
            </w:r>
          </w:p>
          <w:p w:rsidR="007A4CA1" w:rsidRPr="007A4CA1" w:rsidRDefault="007A4CA1" w:rsidP="007A4CA1">
            <w:pPr>
              <w:numPr>
                <w:ilvl w:val="0"/>
                <w:numId w:val="12"/>
              </w:numPr>
              <w:jc w:val="both"/>
              <w:rPr>
                <w:rFonts w:ascii="Arial Narrow" w:hAnsi="Arial Narrow"/>
                <w:sz w:val="24"/>
                <w:szCs w:val="24"/>
              </w:rPr>
            </w:pPr>
            <w:r w:rsidRPr="007A4CA1">
              <w:rPr>
                <w:rFonts w:ascii="Arial Narrow" w:hAnsi="Arial Narrow"/>
                <w:sz w:val="24"/>
                <w:szCs w:val="24"/>
              </w:rPr>
              <w:t>Nastavi sa jačanjem regionalne i međunarodne saradnje kao bi se poboljšao sistem praćenja IP adresa, host i veb staranica prestupnika i podvodača radi borbe protiv dječje pornografije;</w:t>
            </w:r>
          </w:p>
          <w:p w:rsidR="007A4CA1" w:rsidRPr="007A4CA1" w:rsidRDefault="007A4CA1" w:rsidP="007A4CA1">
            <w:pPr>
              <w:numPr>
                <w:ilvl w:val="0"/>
                <w:numId w:val="12"/>
              </w:numPr>
              <w:jc w:val="both"/>
              <w:rPr>
                <w:rFonts w:ascii="Arial Narrow" w:hAnsi="Arial Narrow"/>
                <w:sz w:val="24"/>
                <w:szCs w:val="24"/>
              </w:rPr>
            </w:pPr>
            <w:r w:rsidRPr="007A4CA1">
              <w:rPr>
                <w:rFonts w:ascii="Arial Narrow" w:hAnsi="Arial Narrow"/>
                <w:sz w:val="24"/>
                <w:szCs w:val="24"/>
              </w:rPr>
              <w:t>Uspostaviti informacioni sistem za prikupljanje podataka o trgovini djecom i iskorišćavanju djece u pornografiji i prostituciji;</w:t>
            </w:r>
          </w:p>
          <w:p w:rsidR="007A4CA1" w:rsidRPr="007A4CA1" w:rsidRDefault="007A4CA1" w:rsidP="007A4CA1">
            <w:pPr>
              <w:numPr>
                <w:ilvl w:val="0"/>
                <w:numId w:val="12"/>
              </w:numPr>
              <w:jc w:val="both"/>
              <w:rPr>
                <w:rFonts w:ascii="Arial Narrow" w:hAnsi="Arial Narrow"/>
                <w:sz w:val="24"/>
                <w:szCs w:val="24"/>
              </w:rPr>
            </w:pPr>
            <w:r w:rsidRPr="007A4CA1">
              <w:rPr>
                <w:rFonts w:ascii="Arial Narrow" w:hAnsi="Arial Narrow"/>
                <w:sz w:val="24"/>
                <w:szCs w:val="24"/>
              </w:rPr>
              <w:t>Preduzeti mjere na osnivanju i jačanju institucija i službi koje bi pružale zaštitu djeci žrtvama prostitucije, pornografije i trgovine ljudima;</w:t>
            </w:r>
          </w:p>
          <w:p w:rsidR="007A4CA1" w:rsidRPr="007A4CA1" w:rsidRDefault="007A4CA1" w:rsidP="007A4CA1">
            <w:pPr>
              <w:numPr>
                <w:ilvl w:val="0"/>
                <w:numId w:val="12"/>
              </w:numPr>
              <w:jc w:val="both"/>
              <w:rPr>
                <w:rFonts w:ascii="Arial Narrow" w:hAnsi="Arial Narrow"/>
                <w:sz w:val="24"/>
                <w:szCs w:val="24"/>
              </w:rPr>
            </w:pPr>
            <w:r w:rsidRPr="007A4CA1">
              <w:rPr>
                <w:rFonts w:ascii="Arial Narrow" w:hAnsi="Arial Narrow"/>
                <w:sz w:val="24"/>
                <w:szCs w:val="24"/>
              </w:rPr>
              <w:t>Obezbijediti podršku porodicama djece žrtava seksualne eksploatacije;</w:t>
            </w:r>
          </w:p>
          <w:p w:rsidR="007A4CA1" w:rsidRPr="007A4CA1" w:rsidRDefault="007A4CA1" w:rsidP="007A4CA1">
            <w:pPr>
              <w:ind w:left="720"/>
              <w:jc w:val="both"/>
              <w:rPr>
                <w:rFonts w:ascii="Arial Narrow" w:hAnsi="Arial Narrow"/>
                <w:sz w:val="24"/>
                <w:szCs w:val="24"/>
              </w:rPr>
            </w:pPr>
          </w:p>
        </w:tc>
      </w:tr>
    </w:tbl>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keepNext/>
        <w:keepLines/>
        <w:spacing w:after="0" w:line="240" w:lineRule="auto"/>
        <w:jc w:val="center"/>
        <w:outlineLvl w:val="0"/>
        <w:rPr>
          <w:rFonts w:ascii="Arial Narrow" w:eastAsia="Times New Roman" w:hAnsi="Arial Narrow" w:cstheme="majorBidi"/>
          <w:b/>
          <w:sz w:val="32"/>
          <w:szCs w:val="32"/>
        </w:rPr>
      </w:pPr>
      <w:bookmarkStart w:id="44" w:name="_Toc484780079"/>
      <w:bookmarkStart w:id="45" w:name="SADRZAJ_278"/>
      <w:r w:rsidRPr="007A4CA1">
        <w:rPr>
          <w:rFonts w:ascii="Arial Narrow" w:eastAsia="Times New Roman" w:hAnsi="Arial Narrow" w:cstheme="majorBidi"/>
          <w:b/>
          <w:sz w:val="32"/>
          <w:szCs w:val="32"/>
        </w:rPr>
        <w:t>X Fakultativni protokol uz konvenciju o pravima djeteta o učešću djece u oružanim sukobima</w:t>
      </w:r>
      <w:bookmarkEnd w:id="44"/>
      <w:r w:rsidRPr="007A4CA1">
        <w:rPr>
          <w:rFonts w:ascii="Arial Narrow" w:eastAsia="Times New Roman" w:hAnsi="Arial Narrow" w:cstheme="majorBidi"/>
          <w:b/>
          <w:sz w:val="32"/>
          <w:szCs w:val="32"/>
        </w:rPr>
        <w:t xml:space="preserve"> </w:t>
      </w:r>
    </w:p>
    <w:p w:rsidR="007A4CA1" w:rsidRPr="007A4CA1" w:rsidRDefault="007A4CA1" w:rsidP="007A4CA1">
      <w:pPr>
        <w:spacing w:after="0" w:line="240" w:lineRule="auto"/>
        <w:ind w:right="375"/>
        <w:jc w:val="both"/>
        <w:rPr>
          <w:rFonts w:ascii="Arial Narrow" w:eastAsia="Times New Roman" w:hAnsi="Arial Narrow" w:cs="Times New Roman"/>
          <w:sz w:val="24"/>
          <w:szCs w:val="24"/>
        </w:rPr>
      </w:pPr>
    </w:p>
    <w:p w:rsidR="007A4CA1" w:rsidRPr="007A4CA1" w:rsidRDefault="007A4CA1" w:rsidP="007A4CA1">
      <w:pPr>
        <w:spacing w:after="0" w:line="240" w:lineRule="auto"/>
        <w:ind w:right="375"/>
        <w:jc w:val="both"/>
        <w:rPr>
          <w:rFonts w:ascii="Arial Narrow" w:eastAsia="Times New Roman" w:hAnsi="Arial Narrow" w:cs="Times New Roman"/>
          <w:sz w:val="24"/>
          <w:szCs w:val="24"/>
        </w:rPr>
      </w:pPr>
    </w:p>
    <w:p w:rsidR="007A4CA1" w:rsidRPr="007A4CA1" w:rsidRDefault="007A4CA1" w:rsidP="007A4CA1">
      <w:pPr>
        <w:spacing w:after="0" w:line="240" w:lineRule="auto"/>
        <w:ind w:right="375"/>
        <w:jc w:val="both"/>
        <w:rPr>
          <w:rFonts w:ascii="Arial Narrow" w:eastAsia="Times New Roman" w:hAnsi="Arial Narrow" w:cs="Times New Roman"/>
          <w:sz w:val="24"/>
          <w:szCs w:val="24"/>
        </w:rPr>
      </w:pPr>
      <w:r w:rsidRPr="007A4CA1">
        <w:rPr>
          <w:rFonts w:ascii="Arial Narrow" w:eastAsia="Times New Roman" w:hAnsi="Arial Narrow" w:cs="Times New Roman"/>
          <w:sz w:val="24"/>
          <w:szCs w:val="24"/>
        </w:rPr>
        <w:t>U toku je izrada novog Zakona o vojsci kojim se izričito propisuje zabrana angažovanja djece do navršene 18. godine života u vojnoj službi. Očekujemo da će ovo zakonsko rješenje biti usvojeno. Prema Programu rada Vlade CG usvajanje je predviđeno u četvrtom kvartalu 2017. godine.</w:t>
      </w:r>
    </w:p>
    <w:p w:rsidR="007A4CA1" w:rsidRPr="007A4CA1" w:rsidRDefault="007A4CA1" w:rsidP="007A4CA1">
      <w:pPr>
        <w:spacing w:after="0" w:line="240" w:lineRule="auto"/>
        <w:ind w:right="375"/>
        <w:jc w:val="both"/>
        <w:rPr>
          <w:rFonts w:ascii="Arial Narrow" w:eastAsia="Times New Roman" w:hAnsi="Arial Narrow" w:cs="Times New Roman"/>
          <w:sz w:val="24"/>
          <w:szCs w:val="24"/>
        </w:rPr>
      </w:pPr>
    </w:p>
    <w:bookmarkEnd w:id="45"/>
    <w:p w:rsidR="007A4CA1" w:rsidRPr="007A4CA1" w:rsidRDefault="007A4CA1" w:rsidP="007A4CA1">
      <w:pPr>
        <w:autoSpaceDE w:val="0"/>
        <w:autoSpaceDN w:val="0"/>
        <w:adjustRightInd w:val="0"/>
        <w:spacing w:after="0" w:line="240" w:lineRule="auto"/>
        <w:jc w:val="both"/>
        <w:rPr>
          <w:rFonts w:ascii="Arial Narrow" w:hAnsi="Arial Narrow"/>
          <w:color w:val="000000"/>
          <w:sz w:val="24"/>
          <w:szCs w:val="24"/>
          <w:lang w:val="bs-Latn-BA"/>
        </w:rPr>
      </w:pPr>
    </w:p>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spacing w:after="0" w:line="240" w:lineRule="auto"/>
        <w:jc w:val="both"/>
        <w:rPr>
          <w:rFonts w:ascii="Arial Narrow" w:hAnsi="Arial Narrow"/>
          <w:sz w:val="24"/>
        </w:rPr>
      </w:pPr>
    </w:p>
    <w:p w:rsidR="007A4CA1" w:rsidRPr="007A4CA1" w:rsidRDefault="007A4CA1" w:rsidP="007A4CA1">
      <w:pPr>
        <w:spacing w:after="0" w:line="240" w:lineRule="auto"/>
        <w:jc w:val="both"/>
        <w:rPr>
          <w:rFonts w:ascii="Arial Narrow" w:hAnsi="Arial Narrow"/>
          <w:sz w:val="24"/>
        </w:rPr>
      </w:pPr>
    </w:p>
    <w:p w:rsidR="004D57BF" w:rsidRDefault="004D57BF"/>
    <w:sectPr w:rsidR="004D57BF" w:rsidSect="00AC5024">
      <w:footerReference w:type="default" r:id="rId8"/>
      <w:pgSz w:w="12240" w:h="15840"/>
      <w:pgMar w:top="1247" w:right="1247" w:bottom="1247"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4A" w:rsidRDefault="008B574A">
      <w:pPr>
        <w:spacing w:after="0" w:line="240" w:lineRule="auto"/>
      </w:pPr>
      <w:r>
        <w:separator/>
      </w:r>
    </w:p>
  </w:endnote>
  <w:endnote w:type="continuationSeparator" w:id="0">
    <w:p w:rsidR="008B574A" w:rsidRDefault="008B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69110"/>
      <w:docPartObj>
        <w:docPartGallery w:val="Page Numbers (Bottom of Page)"/>
        <w:docPartUnique/>
      </w:docPartObj>
    </w:sdtPr>
    <w:sdtEndPr>
      <w:rPr>
        <w:noProof/>
      </w:rPr>
    </w:sdtEndPr>
    <w:sdtContent>
      <w:p w:rsidR="00DB470E" w:rsidRDefault="007A4CA1">
        <w:pPr>
          <w:pStyle w:val="Footer"/>
          <w:jc w:val="center"/>
        </w:pPr>
        <w:r>
          <w:fldChar w:fldCharType="begin"/>
        </w:r>
        <w:r>
          <w:instrText xml:space="preserve"> PAGE   \* MERGEFORMAT </w:instrText>
        </w:r>
        <w:r>
          <w:fldChar w:fldCharType="separate"/>
        </w:r>
        <w:r w:rsidR="00A93D45">
          <w:rPr>
            <w:noProof/>
          </w:rPr>
          <w:t>21</w:t>
        </w:r>
        <w:r>
          <w:rPr>
            <w:noProof/>
          </w:rPr>
          <w:fldChar w:fldCharType="end"/>
        </w:r>
      </w:p>
    </w:sdtContent>
  </w:sdt>
  <w:p w:rsidR="00DB470E" w:rsidRDefault="008B57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4A" w:rsidRDefault="008B574A">
      <w:pPr>
        <w:spacing w:after="0" w:line="240" w:lineRule="auto"/>
      </w:pPr>
      <w:r>
        <w:separator/>
      </w:r>
    </w:p>
  </w:footnote>
  <w:footnote w:type="continuationSeparator" w:id="0">
    <w:p w:rsidR="008B574A" w:rsidRDefault="008B5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C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31FE"/>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3F3"/>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61070"/>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47FFD"/>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A460D"/>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96A21"/>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620E7"/>
    <w:multiLevelType w:val="hybridMultilevel"/>
    <w:tmpl w:val="7BF623C6"/>
    <w:lvl w:ilvl="0" w:tplc="FC0AA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3D62A4"/>
    <w:multiLevelType w:val="hybridMultilevel"/>
    <w:tmpl w:val="D5FE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F7A33"/>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F539B"/>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73F67"/>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039D2"/>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3753B"/>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E42F9"/>
    <w:multiLevelType w:val="hybridMultilevel"/>
    <w:tmpl w:val="68424A2A"/>
    <w:lvl w:ilvl="0" w:tplc="8F148D8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73219"/>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215ED"/>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A1A7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40CF0"/>
    <w:multiLevelType w:val="hybridMultilevel"/>
    <w:tmpl w:val="593E25B2"/>
    <w:lvl w:ilvl="0" w:tplc="86E8EA3A">
      <w:start w:val="6"/>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A22E2"/>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16A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93A53"/>
    <w:multiLevelType w:val="hybridMultilevel"/>
    <w:tmpl w:val="6280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27510F"/>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90F2C"/>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2AB8"/>
    <w:multiLevelType w:val="hybridMultilevel"/>
    <w:tmpl w:val="7E84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B2029"/>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85225"/>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9742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C5195"/>
    <w:multiLevelType w:val="hybridMultilevel"/>
    <w:tmpl w:val="4CD28BAA"/>
    <w:lvl w:ilvl="0" w:tplc="41E66C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43B6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8618E"/>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562BF"/>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00F97"/>
    <w:multiLevelType w:val="hybridMultilevel"/>
    <w:tmpl w:val="1B5C1EE8"/>
    <w:lvl w:ilvl="0" w:tplc="E79CFD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4F1222"/>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D68F2"/>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4541B"/>
    <w:multiLevelType w:val="hybridMultilevel"/>
    <w:tmpl w:val="5DD2D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E758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97648"/>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F1A3F"/>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5659D"/>
    <w:multiLevelType w:val="hybridMultilevel"/>
    <w:tmpl w:val="A9521810"/>
    <w:lvl w:ilvl="0" w:tplc="9B3A9F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4A32D9"/>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D0DA5"/>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41A77"/>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F4DAD"/>
    <w:multiLevelType w:val="multilevel"/>
    <w:tmpl w:val="67742A3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4543F9"/>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2663B"/>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35"/>
  </w:num>
  <w:num w:numId="4">
    <w:abstractNumId w:val="28"/>
  </w:num>
  <w:num w:numId="5">
    <w:abstractNumId w:val="24"/>
  </w:num>
  <w:num w:numId="6">
    <w:abstractNumId w:val="21"/>
  </w:num>
  <w:num w:numId="7">
    <w:abstractNumId w:val="7"/>
  </w:num>
  <w:num w:numId="8">
    <w:abstractNumId w:val="39"/>
  </w:num>
  <w:num w:numId="9">
    <w:abstractNumId w:val="32"/>
  </w:num>
  <w:num w:numId="10">
    <w:abstractNumId w:val="16"/>
  </w:num>
  <w:num w:numId="11">
    <w:abstractNumId w:val="18"/>
  </w:num>
  <w:num w:numId="12">
    <w:abstractNumId w:val="14"/>
  </w:num>
  <w:num w:numId="13">
    <w:abstractNumId w:val="22"/>
  </w:num>
  <w:num w:numId="14">
    <w:abstractNumId w:val="31"/>
  </w:num>
  <w:num w:numId="15">
    <w:abstractNumId w:val="37"/>
  </w:num>
  <w:num w:numId="16">
    <w:abstractNumId w:val="2"/>
  </w:num>
  <w:num w:numId="17">
    <w:abstractNumId w:val="0"/>
  </w:num>
  <w:num w:numId="18">
    <w:abstractNumId w:val="34"/>
  </w:num>
  <w:num w:numId="19">
    <w:abstractNumId w:val="29"/>
  </w:num>
  <w:num w:numId="20">
    <w:abstractNumId w:val="13"/>
  </w:num>
  <w:num w:numId="21">
    <w:abstractNumId w:val="11"/>
  </w:num>
  <w:num w:numId="22">
    <w:abstractNumId w:val="15"/>
  </w:num>
  <w:num w:numId="23">
    <w:abstractNumId w:val="20"/>
  </w:num>
  <w:num w:numId="24">
    <w:abstractNumId w:val="3"/>
  </w:num>
  <w:num w:numId="25">
    <w:abstractNumId w:val="27"/>
  </w:num>
  <w:num w:numId="26">
    <w:abstractNumId w:val="38"/>
  </w:num>
  <w:num w:numId="27">
    <w:abstractNumId w:val="5"/>
  </w:num>
  <w:num w:numId="28">
    <w:abstractNumId w:val="9"/>
  </w:num>
  <w:num w:numId="29">
    <w:abstractNumId w:val="26"/>
  </w:num>
  <w:num w:numId="30">
    <w:abstractNumId w:val="10"/>
  </w:num>
  <w:num w:numId="31">
    <w:abstractNumId w:val="4"/>
  </w:num>
  <w:num w:numId="32">
    <w:abstractNumId w:val="41"/>
  </w:num>
  <w:num w:numId="33">
    <w:abstractNumId w:val="12"/>
  </w:num>
  <w:num w:numId="34">
    <w:abstractNumId w:val="42"/>
  </w:num>
  <w:num w:numId="35">
    <w:abstractNumId w:val="1"/>
  </w:num>
  <w:num w:numId="36">
    <w:abstractNumId w:val="6"/>
  </w:num>
  <w:num w:numId="37">
    <w:abstractNumId w:val="23"/>
  </w:num>
  <w:num w:numId="38">
    <w:abstractNumId w:val="25"/>
  </w:num>
  <w:num w:numId="39">
    <w:abstractNumId w:val="44"/>
  </w:num>
  <w:num w:numId="40">
    <w:abstractNumId w:val="30"/>
  </w:num>
  <w:num w:numId="41">
    <w:abstractNumId w:val="17"/>
  </w:num>
  <w:num w:numId="42">
    <w:abstractNumId w:val="40"/>
  </w:num>
  <w:num w:numId="43">
    <w:abstractNumId w:val="45"/>
  </w:num>
  <w:num w:numId="44">
    <w:abstractNumId w:val="19"/>
  </w:num>
  <w:num w:numId="45">
    <w:abstractNumId w:val="3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2E"/>
    <w:rsid w:val="004D57BF"/>
    <w:rsid w:val="007A4CA1"/>
    <w:rsid w:val="008B574A"/>
    <w:rsid w:val="00A93D45"/>
    <w:rsid w:val="00ED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855F"/>
  <w15:chartTrackingRefBased/>
  <w15:docId w15:val="{90F1EC3F-43AE-42AD-BE26-C8307B40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CA1"/>
    <w:pPr>
      <w:keepNext/>
      <w:keepLines/>
      <w:spacing w:after="0" w:line="240" w:lineRule="auto"/>
      <w:jc w:val="center"/>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7A4CA1"/>
    <w:pPr>
      <w:keepNext/>
      <w:keepLines/>
      <w:spacing w:after="0" w:line="240" w:lineRule="auto"/>
      <w:outlineLvl w:val="1"/>
    </w:pPr>
    <w:rPr>
      <w:rFonts w:ascii="Arial Narrow" w:eastAsiaTheme="majorEastAsia" w:hAnsi="Arial Narrow" w:cstheme="majorBidi"/>
      <w:b/>
      <w:sz w:val="28"/>
      <w:szCs w:val="26"/>
    </w:rPr>
  </w:style>
  <w:style w:type="paragraph" w:styleId="Heading3">
    <w:name w:val="heading 3"/>
    <w:basedOn w:val="Normal"/>
    <w:next w:val="Normal"/>
    <w:link w:val="Heading3Char"/>
    <w:uiPriority w:val="9"/>
    <w:unhideWhenUsed/>
    <w:qFormat/>
    <w:rsid w:val="007A4CA1"/>
    <w:pPr>
      <w:keepNext/>
      <w:keepLines/>
      <w:spacing w:after="0" w:line="240" w:lineRule="auto"/>
      <w:outlineLvl w:val="2"/>
    </w:pPr>
    <w:rPr>
      <w:rFonts w:ascii="Arial Narrow" w:eastAsiaTheme="majorEastAsia" w:hAnsi="Arial Narrow" w:cstheme="majorBidi"/>
      <w:b/>
      <w:sz w:val="24"/>
      <w:szCs w:val="24"/>
    </w:rPr>
  </w:style>
  <w:style w:type="paragraph" w:styleId="Heading6">
    <w:name w:val="heading 6"/>
    <w:basedOn w:val="Normal"/>
    <w:next w:val="Normal"/>
    <w:link w:val="Heading6Char"/>
    <w:unhideWhenUsed/>
    <w:qFormat/>
    <w:rsid w:val="007A4CA1"/>
    <w:pPr>
      <w:spacing w:before="240" w:after="60" w:line="240" w:lineRule="auto"/>
      <w:jc w:val="both"/>
      <w:outlineLvl w:val="5"/>
    </w:pPr>
    <w:rPr>
      <w:rFonts w:ascii="Calibri" w:eastAsia="Times New Roman" w:hAnsi="Calibri" w:cs="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CA1"/>
    <w:rPr>
      <w:rFonts w:ascii="Arial Narrow" w:eastAsiaTheme="majorEastAsia" w:hAnsi="Arial Narrow" w:cstheme="majorBidi"/>
      <w:b/>
      <w:sz w:val="32"/>
      <w:szCs w:val="32"/>
    </w:rPr>
  </w:style>
  <w:style w:type="character" w:customStyle="1" w:styleId="Heading2Char">
    <w:name w:val="Heading 2 Char"/>
    <w:basedOn w:val="DefaultParagraphFont"/>
    <w:link w:val="Heading2"/>
    <w:uiPriority w:val="9"/>
    <w:rsid w:val="007A4CA1"/>
    <w:rPr>
      <w:rFonts w:ascii="Arial Narrow" w:eastAsiaTheme="majorEastAsia" w:hAnsi="Arial Narrow" w:cstheme="majorBidi"/>
      <w:b/>
      <w:sz w:val="28"/>
      <w:szCs w:val="26"/>
    </w:rPr>
  </w:style>
  <w:style w:type="character" w:customStyle="1" w:styleId="Heading3Char">
    <w:name w:val="Heading 3 Char"/>
    <w:basedOn w:val="DefaultParagraphFont"/>
    <w:link w:val="Heading3"/>
    <w:uiPriority w:val="9"/>
    <w:rsid w:val="007A4CA1"/>
    <w:rPr>
      <w:rFonts w:ascii="Arial Narrow" w:eastAsiaTheme="majorEastAsia" w:hAnsi="Arial Narrow" w:cstheme="majorBidi"/>
      <w:b/>
      <w:sz w:val="24"/>
      <w:szCs w:val="24"/>
    </w:rPr>
  </w:style>
  <w:style w:type="character" w:customStyle="1" w:styleId="Heading6Char">
    <w:name w:val="Heading 6 Char"/>
    <w:basedOn w:val="DefaultParagraphFont"/>
    <w:link w:val="Heading6"/>
    <w:rsid w:val="007A4CA1"/>
    <w:rPr>
      <w:rFonts w:ascii="Calibri" w:eastAsia="Times New Roman" w:hAnsi="Calibri" w:cs="Times New Roman"/>
      <w:b/>
      <w:bCs/>
      <w:sz w:val="24"/>
      <w:lang w:val="en-GB"/>
    </w:rPr>
  </w:style>
  <w:style w:type="numbering" w:customStyle="1" w:styleId="NoList1">
    <w:name w:val="No List1"/>
    <w:next w:val="NoList"/>
    <w:uiPriority w:val="99"/>
    <w:semiHidden/>
    <w:unhideWhenUsed/>
    <w:rsid w:val="007A4CA1"/>
  </w:style>
  <w:style w:type="paragraph" w:styleId="FootnoteText">
    <w:name w:val="footnote text"/>
    <w:aliases w:val="Footnote Text Char1 Char,Footnote Text Char Char Char,Char Char Char,Footnote Text Char1 Char Char Char,Footnote Text Char1 Char Char Char Char Char,single space,ft,Char Char,Char,ft Char Char Char"/>
    <w:basedOn w:val="Normal"/>
    <w:link w:val="FootnoteTextChar"/>
    <w:uiPriority w:val="99"/>
    <w:semiHidden/>
    <w:unhideWhenUsed/>
    <w:rsid w:val="007A4CA1"/>
    <w:pPr>
      <w:spacing w:after="0" w:line="240" w:lineRule="auto"/>
      <w:jc w:val="both"/>
    </w:pPr>
    <w:rPr>
      <w:rFonts w:ascii="Arial Narrow" w:hAnsi="Arial Narrow"/>
      <w:sz w:val="20"/>
      <w:szCs w:val="20"/>
    </w:rPr>
  </w:style>
  <w:style w:type="character" w:customStyle="1" w:styleId="FootnoteTextChar">
    <w:name w:val="Footnote Text Char"/>
    <w:aliases w:val="Footnote Text Char1 Char Char,Footnote Text Char Char Char Char,Char Char Char Char,Footnote Text Char1 Char Char Char Char,Footnote Text Char1 Char Char Char Char Char Char,single space Char,ft Char,Char Char Char1,Char Char1"/>
    <w:basedOn w:val="DefaultParagraphFont"/>
    <w:link w:val="FootnoteText"/>
    <w:uiPriority w:val="99"/>
    <w:semiHidden/>
    <w:rsid w:val="007A4CA1"/>
    <w:rPr>
      <w:rFonts w:ascii="Arial Narrow" w:hAnsi="Arial Narrow"/>
      <w:sz w:val="20"/>
      <w:szCs w:val="20"/>
    </w:rPr>
  </w:style>
  <w:style w:type="character" w:styleId="FootnoteReference">
    <w:name w:val="footnote reference"/>
    <w:aliases w:val="callout,Footnotes refss,ftref"/>
    <w:uiPriority w:val="99"/>
    <w:semiHidden/>
    <w:unhideWhenUsed/>
    <w:rsid w:val="007A4CA1"/>
    <w:rPr>
      <w:vertAlign w:val="superscript"/>
    </w:rPr>
  </w:style>
  <w:style w:type="table" w:styleId="TableGrid">
    <w:name w:val="Table Grid"/>
    <w:basedOn w:val="TableNormal"/>
    <w:uiPriority w:val="39"/>
    <w:rsid w:val="007A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CA1"/>
    <w:pPr>
      <w:spacing w:after="0" w:line="240" w:lineRule="auto"/>
      <w:ind w:left="720"/>
      <w:contextualSpacing/>
      <w:jc w:val="both"/>
    </w:pPr>
    <w:rPr>
      <w:rFonts w:ascii="Arial Narrow" w:hAnsi="Arial Narrow"/>
      <w:sz w:val="24"/>
    </w:rPr>
  </w:style>
  <w:style w:type="character" w:styleId="Hyperlink">
    <w:name w:val="Hyperlink"/>
    <w:basedOn w:val="DefaultParagraphFont"/>
    <w:uiPriority w:val="99"/>
    <w:unhideWhenUsed/>
    <w:rsid w:val="007A4CA1"/>
    <w:rPr>
      <w:color w:val="0563C1" w:themeColor="hyperlink"/>
      <w:u w:val="single"/>
    </w:rPr>
  </w:style>
  <w:style w:type="paragraph" w:customStyle="1" w:styleId="Default">
    <w:name w:val="Default"/>
    <w:rsid w:val="007A4CA1"/>
    <w:pPr>
      <w:autoSpaceDE w:val="0"/>
      <w:autoSpaceDN w:val="0"/>
      <w:adjustRightInd w:val="0"/>
      <w:spacing w:after="0" w:line="240" w:lineRule="auto"/>
    </w:pPr>
    <w:rPr>
      <w:rFonts w:ascii="Arial" w:hAnsi="Arial" w:cs="Arial"/>
      <w:color w:val="000000"/>
      <w:sz w:val="24"/>
      <w:szCs w:val="24"/>
    </w:rPr>
  </w:style>
  <w:style w:type="paragraph" w:customStyle="1" w:styleId="T30X">
    <w:name w:val="T30X"/>
    <w:basedOn w:val="Normal"/>
    <w:uiPriority w:val="99"/>
    <w:rsid w:val="007A4CA1"/>
    <w:pPr>
      <w:autoSpaceDE w:val="0"/>
      <w:autoSpaceDN w:val="0"/>
      <w:adjustRightInd w:val="0"/>
      <w:spacing w:before="60" w:after="60" w:line="240" w:lineRule="auto"/>
      <w:ind w:firstLine="283"/>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A4CA1"/>
    <w:pPr>
      <w:tabs>
        <w:tab w:val="center" w:pos="4680"/>
        <w:tab w:val="right" w:pos="9360"/>
      </w:tabs>
      <w:spacing w:after="0" w:line="240" w:lineRule="auto"/>
      <w:jc w:val="both"/>
    </w:pPr>
    <w:rPr>
      <w:rFonts w:ascii="Arial Narrow" w:hAnsi="Arial Narrow"/>
      <w:sz w:val="24"/>
    </w:rPr>
  </w:style>
  <w:style w:type="character" w:customStyle="1" w:styleId="HeaderChar">
    <w:name w:val="Header Char"/>
    <w:basedOn w:val="DefaultParagraphFont"/>
    <w:link w:val="Header"/>
    <w:uiPriority w:val="99"/>
    <w:rsid w:val="007A4CA1"/>
    <w:rPr>
      <w:rFonts w:ascii="Arial Narrow" w:hAnsi="Arial Narrow"/>
      <w:sz w:val="24"/>
    </w:rPr>
  </w:style>
  <w:style w:type="paragraph" w:styleId="Footer">
    <w:name w:val="footer"/>
    <w:basedOn w:val="Normal"/>
    <w:link w:val="FooterChar"/>
    <w:uiPriority w:val="99"/>
    <w:unhideWhenUsed/>
    <w:rsid w:val="007A4CA1"/>
    <w:pPr>
      <w:tabs>
        <w:tab w:val="center" w:pos="4680"/>
        <w:tab w:val="right" w:pos="9360"/>
      </w:tabs>
      <w:spacing w:after="0" w:line="240" w:lineRule="auto"/>
      <w:jc w:val="both"/>
    </w:pPr>
    <w:rPr>
      <w:rFonts w:ascii="Arial Narrow" w:hAnsi="Arial Narrow"/>
      <w:sz w:val="24"/>
    </w:rPr>
  </w:style>
  <w:style w:type="character" w:customStyle="1" w:styleId="FooterChar">
    <w:name w:val="Footer Char"/>
    <w:basedOn w:val="DefaultParagraphFont"/>
    <w:link w:val="Footer"/>
    <w:uiPriority w:val="99"/>
    <w:rsid w:val="007A4CA1"/>
    <w:rPr>
      <w:rFonts w:ascii="Arial Narrow" w:hAnsi="Arial Narrow"/>
      <w:sz w:val="24"/>
    </w:rPr>
  </w:style>
  <w:style w:type="paragraph" w:styleId="BodyText">
    <w:name w:val="Body Text"/>
    <w:basedOn w:val="Normal"/>
    <w:link w:val="BodyTextChar"/>
    <w:rsid w:val="007A4CA1"/>
    <w:pPr>
      <w:spacing w:after="12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A4CA1"/>
    <w:rPr>
      <w:rFonts w:ascii="Times New Roman" w:eastAsia="Times New Roman" w:hAnsi="Times New Roman" w:cs="Times New Roman"/>
      <w:sz w:val="24"/>
      <w:szCs w:val="20"/>
      <w:lang w:val="en-GB"/>
    </w:rPr>
  </w:style>
  <w:style w:type="paragraph" w:customStyle="1" w:styleId="1tekst">
    <w:name w:val="1tekst"/>
    <w:basedOn w:val="Normal"/>
    <w:rsid w:val="007A4CA1"/>
    <w:pPr>
      <w:spacing w:after="0" w:line="240" w:lineRule="auto"/>
      <w:ind w:left="375" w:right="375" w:firstLine="240"/>
      <w:jc w:val="both"/>
    </w:pPr>
    <w:rPr>
      <w:rFonts w:ascii="Arial" w:eastAsia="Times New Roman" w:hAnsi="Arial" w:cs="Arial"/>
      <w:sz w:val="20"/>
      <w:szCs w:val="20"/>
    </w:rPr>
  </w:style>
  <w:style w:type="paragraph" w:styleId="BodyText2">
    <w:name w:val="Body Text 2"/>
    <w:basedOn w:val="Normal"/>
    <w:link w:val="BodyText2Char"/>
    <w:rsid w:val="007A4CA1"/>
    <w:pPr>
      <w:spacing w:after="120" w:line="48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7A4CA1"/>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7A4CA1"/>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A1"/>
    <w:rPr>
      <w:rFonts w:ascii="Segoe UI" w:hAnsi="Segoe UI" w:cs="Segoe UI"/>
      <w:sz w:val="18"/>
      <w:szCs w:val="18"/>
    </w:rPr>
  </w:style>
  <w:style w:type="paragraph" w:styleId="Title">
    <w:name w:val="Title"/>
    <w:aliases w:val="normal 2"/>
    <w:basedOn w:val="BodyText"/>
    <w:next w:val="BodyText"/>
    <w:link w:val="TitleChar"/>
    <w:uiPriority w:val="10"/>
    <w:qFormat/>
    <w:rsid w:val="007A4CA1"/>
    <w:pPr>
      <w:spacing w:after="0"/>
    </w:pPr>
    <w:rPr>
      <w:rFonts w:ascii="Arial Narrow" w:hAnsi="Arial Narrow"/>
      <w:bCs/>
      <w:kern w:val="28"/>
      <w:szCs w:val="32"/>
      <w:lang w:val="sl-SI" w:eastAsia="x-none" w:bidi="th-TH"/>
    </w:rPr>
  </w:style>
  <w:style w:type="character" w:customStyle="1" w:styleId="TitleChar">
    <w:name w:val="Title Char"/>
    <w:aliases w:val="normal 2 Char"/>
    <w:basedOn w:val="DefaultParagraphFont"/>
    <w:link w:val="Title"/>
    <w:uiPriority w:val="10"/>
    <w:rsid w:val="007A4CA1"/>
    <w:rPr>
      <w:rFonts w:ascii="Arial Narrow" w:eastAsia="Times New Roman" w:hAnsi="Arial Narrow" w:cs="Times New Roman"/>
      <w:bCs/>
      <w:kern w:val="28"/>
      <w:sz w:val="24"/>
      <w:szCs w:val="32"/>
      <w:lang w:val="sl-SI" w:eastAsia="x-none" w:bidi="th-TH"/>
    </w:rPr>
  </w:style>
  <w:style w:type="paragraph" w:styleId="TOCHeading">
    <w:name w:val="TOC Heading"/>
    <w:basedOn w:val="Heading1"/>
    <w:next w:val="Normal"/>
    <w:uiPriority w:val="39"/>
    <w:unhideWhenUsed/>
    <w:qFormat/>
    <w:rsid w:val="007A4CA1"/>
    <w:pPr>
      <w:spacing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7A4CA1"/>
    <w:pPr>
      <w:spacing w:after="100" w:line="240" w:lineRule="auto"/>
      <w:jc w:val="both"/>
    </w:pPr>
    <w:rPr>
      <w:rFonts w:ascii="Arial Narrow" w:hAnsi="Arial Narrow"/>
      <w:sz w:val="24"/>
    </w:rPr>
  </w:style>
  <w:style w:type="paragraph" w:styleId="TOC2">
    <w:name w:val="toc 2"/>
    <w:basedOn w:val="Normal"/>
    <w:next w:val="Normal"/>
    <w:autoRedefine/>
    <w:uiPriority w:val="39"/>
    <w:unhideWhenUsed/>
    <w:rsid w:val="007A4CA1"/>
    <w:pPr>
      <w:spacing w:after="100" w:line="240" w:lineRule="auto"/>
      <w:ind w:left="240"/>
      <w:jc w:val="both"/>
    </w:pPr>
    <w:rPr>
      <w:rFonts w:ascii="Arial Narrow" w:hAnsi="Arial Narrow"/>
      <w:sz w:val="24"/>
    </w:rPr>
  </w:style>
  <w:style w:type="paragraph" w:styleId="TOC3">
    <w:name w:val="toc 3"/>
    <w:basedOn w:val="Normal"/>
    <w:next w:val="Normal"/>
    <w:autoRedefine/>
    <w:uiPriority w:val="39"/>
    <w:unhideWhenUsed/>
    <w:rsid w:val="007A4CA1"/>
    <w:pPr>
      <w:spacing w:after="100" w:line="240" w:lineRule="auto"/>
      <w:ind w:left="480"/>
      <w:jc w:val="both"/>
    </w:pPr>
    <w:rPr>
      <w:rFonts w:ascii="Arial Narrow" w:hAnsi="Arial Narrow"/>
      <w:sz w:val="24"/>
    </w:rPr>
  </w:style>
  <w:style w:type="paragraph" w:styleId="NoSpacing">
    <w:name w:val="No Spacing"/>
    <w:uiPriority w:val="1"/>
    <w:qFormat/>
    <w:rsid w:val="007A4CA1"/>
    <w:pPr>
      <w:spacing w:after="0" w:line="240" w:lineRule="auto"/>
      <w:jc w:val="both"/>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mbudsman.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11044</Words>
  <Characters>62957</Characters>
  <Application>Microsoft Office Word</Application>
  <DocSecurity>0</DocSecurity>
  <Lines>524</Lines>
  <Paragraphs>147</Paragraphs>
  <ScaleCrop>false</ScaleCrop>
  <Company/>
  <LinksUpToDate>false</LinksUpToDate>
  <CharactersWithSpaces>73854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PRIP</dc:creator>
  <cp:keywords/>
  <dc:description/>
  <cp:lastModifiedBy>Mijuskovic</cp:lastModifiedBy>
  <cp:revision>3</cp:revision>
  <dcterms:created xsi:type="dcterms:W3CDTF">2017-07-06T06:52:00Z</dcterms:created>
  <dcterms:modified xsi:type="dcterms:W3CDTF">2017-09-05T07:38:00Z</dcterms:modified>
</cp:coreProperties>
</file>